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491FEB29"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123</w:t>
      </w:r>
      <w:r w:rsidRPr="00CE0424">
        <w:tab/>
      </w:r>
      <w:proofErr w:type="spellStart"/>
      <w:r w:rsidRPr="00CE0424">
        <w:rPr>
          <w:sz w:val="32"/>
          <w:szCs w:val="32"/>
        </w:rPr>
        <w:t>Tdoc</w:t>
      </w:r>
      <w:proofErr w:type="spellEnd"/>
      <w:r w:rsidRPr="00CE0424">
        <w:rPr>
          <w:sz w:val="32"/>
          <w:szCs w:val="32"/>
        </w:rPr>
        <w:t xml:space="preserve"> </w:t>
      </w:r>
      <w:r w:rsidR="00C1678D" w:rsidRPr="00C1678D">
        <w:rPr>
          <w:sz w:val="32"/>
          <w:szCs w:val="32"/>
        </w:rPr>
        <w:t>R2-2307463</w:t>
      </w:r>
    </w:p>
    <w:p w14:paraId="19135490" w14:textId="77777777" w:rsidR="007500E3" w:rsidRPr="00CE0424" w:rsidRDefault="007500E3" w:rsidP="007500E3">
      <w:pPr>
        <w:pStyle w:val="3GPPHeader"/>
      </w:pPr>
      <w:r w:rsidRPr="00DE0735">
        <w:t>Toulouse, France, August 21-25, 2023</w:t>
      </w:r>
    </w:p>
    <w:p w14:paraId="159FD6CE" w14:textId="2D087F11"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7.8.2</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1DD3A1FE"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080397">
        <w:rPr>
          <w:sz w:val="22"/>
          <w:szCs w:val="22"/>
        </w:rPr>
        <w:t>UAV 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57E80A32" w:rsidR="000D1EE0" w:rsidRDefault="00A15A3B" w:rsidP="00B34419">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7D6AFC">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Reporting of height, location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(i.e. larger than one) fulfilling the triggering criteria simultaneously</w:t>
            </w:r>
          </w:p>
          <w:p w14:paraId="1BB93700" w14:textId="2EEC4A7C"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DC680A">
            <w:pPr>
              <w:pStyle w:val="ListParagraph"/>
              <w:numPr>
                <w:ilvl w:val="0"/>
                <w:numId w:val="1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DC680A">
            <w:pPr>
              <w:pStyle w:val="ListParagraph"/>
              <w:numPr>
                <w:ilvl w:val="0"/>
                <w:numId w:val="11"/>
              </w:numPr>
              <w:rPr>
                <w:bCs/>
              </w:rPr>
            </w:pPr>
            <w:r w:rsidRPr="004C30DF">
              <w:rPr>
                <w:bCs/>
              </w:rPr>
              <w:t xml:space="preserve">Rel-18 NR supports reporting of UAV UE’s height, location and velocity. It is for further study what accuracy and reporting mechanisms are required and if further enhancements are needed.  </w:t>
            </w:r>
          </w:p>
          <w:p w14:paraId="2B35AEE3" w14:textId="07EBB38A" w:rsidR="004C30DF" w:rsidRPr="004C30DF" w:rsidRDefault="004C30DF" w:rsidP="00DC680A">
            <w:pPr>
              <w:pStyle w:val="ListParagraph"/>
              <w:numPr>
                <w:ilvl w:val="0"/>
                <w:numId w:val="1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DC680A">
            <w:pPr>
              <w:pStyle w:val="ListParagraph"/>
              <w:numPr>
                <w:ilvl w:val="0"/>
                <w:numId w:val="1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950911B" w14:textId="77777777" w:rsidR="00C93CEA" w:rsidRDefault="00C93CEA"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bookmarkStart w:id="0" w:name="_Hlk126828526"/>
            <w:r w:rsidRPr="00B35384">
              <w:rPr>
                <w:b/>
                <w:bCs/>
              </w:rPr>
              <w:t>Agreements:</w:t>
            </w:r>
          </w:p>
          <w:p w14:paraId="5CFE9D3F" w14:textId="358357C3" w:rsidR="00382775" w:rsidRDefault="00382775" w:rsidP="00DC680A">
            <w:pPr>
              <w:pStyle w:val="Doc-text2"/>
              <w:numPr>
                <w:ilvl w:val="0"/>
                <w:numId w:val="12"/>
              </w:numPr>
              <w:tabs>
                <w:tab w:val="clear" w:pos="1622"/>
              </w:tabs>
              <w:ind w:left="314" w:hanging="287"/>
            </w:pPr>
            <w:r>
              <w:lastRenderedPageBreak/>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DC680A">
            <w:pPr>
              <w:pStyle w:val="Doc-text2"/>
              <w:numPr>
                <w:ilvl w:val="0"/>
                <w:numId w:val="12"/>
              </w:numPr>
              <w:tabs>
                <w:tab w:val="clear" w:pos="1622"/>
              </w:tabs>
              <w:ind w:left="314" w:hanging="287"/>
            </w:pPr>
            <w:r>
              <w:t xml:space="preserve">Allow the flight path to be updated. FFS on the details. </w:t>
            </w:r>
          </w:p>
          <w:p w14:paraId="665706F8" w14:textId="77777777" w:rsidR="00382775" w:rsidRDefault="00382775" w:rsidP="00DC680A">
            <w:pPr>
              <w:pStyle w:val="Doc-text2"/>
              <w:numPr>
                <w:ilvl w:val="0"/>
                <w:numId w:val="12"/>
              </w:numPr>
              <w:tabs>
                <w:tab w:val="clear" w:pos="1622"/>
              </w:tabs>
              <w:ind w:left="314" w:hanging="287"/>
            </w:pPr>
            <w:r>
              <w:t xml:space="preserve">FFS on reporting format and initial flight path reporting (i.e. what information to report and how) – next meeting </w:t>
            </w:r>
          </w:p>
          <w:p w14:paraId="33B33442" w14:textId="77777777" w:rsidR="00382775" w:rsidRDefault="00382775" w:rsidP="00DC680A">
            <w:pPr>
              <w:pStyle w:val="Doc-text2"/>
              <w:numPr>
                <w:ilvl w:val="0"/>
                <w:numId w:val="12"/>
              </w:numPr>
              <w:tabs>
                <w:tab w:val="clear" w:pos="1622"/>
              </w:tabs>
              <w:ind w:left="314" w:hanging="287"/>
            </w:pPr>
            <w:r>
              <w:t xml:space="preserve">Continue to study height-depending scaling, triggering and </w:t>
            </w:r>
            <w:r w:rsidRPr="00A647DE">
              <w:t>combinations</w:t>
            </w:r>
          </w:p>
          <w:p w14:paraId="41999C57" w14:textId="6901DA5D" w:rsidR="00382775" w:rsidRDefault="00382775" w:rsidP="00DC680A">
            <w:pPr>
              <w:pStyle w:val="Doc-text2"/>
              <w:numPr>
                <w:ilvl w:val="0"/>
                <w:numId w:val="12"/>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bookmarkEnd w:id="0"/>
    </w:tbl>
    <w:p w14:paraId="291F4CAF" w14:textId="77777777" w:rsidR="00E45F8B" w:rsidRDefault="00E45F8B" w:rsidP="004C10B1">
      <w:pPr>
        <w:rPr>
          <w:lang w:val="en-GB"/>
        </w:rPr>
      </w:pPr>
    </w:p>
    <w:p w14:paraId="7D7C0FC7" w14:textId="77777777" w:rsidR="007B0A69" w:rsidRDefault="007B0A69" w:rsidP="007B0A69">
      <w:pPr>
        <w:rPr>
          <w:lang w:val="en-GB"/>
        </w:rPr>
      </w:pPr>
      <w:r>
        <w:rPr>
          <w:lang w:val="en-GB"/>
        </w:rPr>
        <w:t>In RAN2#121, the following agreements were made to enhance the measurement report for mobility and interference control:</w:t>
      </w:r>
    </w:p>
    <w:p w14:paraId="3EA99716" w14:textId="338E2B73" w:rsidR="00646F5C" w:rsidRPr="00C14C05" w:rsidRDefault="00646F5C"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r w:rsidRPr="00930471">
        <w:rPr>
          <w:b/>
          <w:bCs/>
        </w:rPr>
        <w:t>Agreements:</w:t>
      </w:r>
    </w:p>
    <w:p w14:paraId="2002112B" w14:textId="68026355"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FFS whether UAV UE’s height is mandatorily reported and which parameter/IE is used for height reporting. </w:t>
      </w:r>
    </w:p>
    <w:p w14:paraId="0A5950D4" w14:textId="77777777" w:rsidR="007B0A69" w:rsidRPr="00C14C05"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bookmarkStart w:id="1" w:name="_Hlk131590702"/>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bookmarkEnd w:id="1"/>
    <w:p w14:paraId="1F7E7CF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265746">
        <w:t>Height-dependent parameter scaling is not supported as a part of Rel-18 NR</w:t>
      </w:r>
    </w:p>
    <w:p w14:paraId="528C6F5C"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extend the Number of triggering cells mechanism to apply to the inter-RAT scenario, i.e. event B1 and B2 triggering</w:t>
      </w:r>
    </w:p>
    <w:p w14:paraId="70990AA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Do not restrict the applicability of Number of triggering cells mechanism to FR1 only. In other words, the Number of triggering cells mechanism is applicable to FR1 and FR2 (up to network configuration).  </w:t>
      </w:r>
    </w:p>
    <w:p w14:paraId="3A3A16D6"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The UE shall not ignore or bypass the Number of triggering cells mechanism, once configured.</w:t>
      </w:r>
    </w:p>
    <w:p w14:paraId="618AE0E3"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introduce the use of a “</w:t>
      </w:r>
      <w:proofErr w:type="spellStart"/>
      <w:r>
        <w:t>numberOfTriggeringBeams</w:t>
      </w:r>
      <w:proofErr w:type="spellEnd"/>
      <w:r>
        <w:t>” mechanism.</w:t>
      </w:r>
    </w:p>
    <w:p w14:paraId="27E259CE"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alternative mechanism to the Number of triggering cells mechanism. </w:t>
      </w:r>
    </w:p>
    <w:p w14:paraId="319BF88C"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additional mechanism based on Number of changed cells. </w:t>
      </w:r>
    </w:p>
    <w:p w14:paraId="479ADBFD"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For the purpose of interference control (i.e. for number of trigger cells), do not introduce a prohibit timer mechanism. </w:t>
      </w:r>
    </w:p>
    <w:p w14:paraId="1AF65D8B"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Report on leave is not triggered by a cell that was not previously included in the measurement report for the number of triggering cell.  </w:t>
      </w:r>
    </w:p>
    <w:p w14:paraId="786F4ECC" w14:textId="77777777" w:rsidR="007B0A69" w:rsidRDefault="007B0A69" w:rsidP="007B0A69">
      <w:r>
        <w:t>Another agreement was made for “more than a single config, each for a specific height region” as follows:</w:t>
      </w:r>
    </w:p>
    <w:p w14:paraId="4AA01CEE" w14:textId="16266042" w:rsidR="009B24F9" w:rsidRPr="00C14C05" w:rsidRDefault="009B24F9"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bookmarkStart w:id="2" w:name="OLE_LINK4"/>
      <w:r w:rsidRPr="00C14C05">
        <w:rPr>
          <w:b/>
          <w:bCs/>
        </w:rPr>
        <w:t>Agreements:</w:t>
      </w:r>
    </w:p>
    <w:p w14:paraId="5CCFF69F" w14:textId="22E51D41" w:rsidR="007B0A69" w:rsidRPr="00311C27" w:rsidRDefault="007B0A69" w:rsidP="00DC680A">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pPr>
      <w:r w:rsidRPr="002C1691">
        <w:t xml:space="preserve">Support configuring height-dependent more-than-one configurations targeting measurement and measurement reporting enhancement. </w:t>
      </w:r>
      <w:bookmarkEnd w:id="2"/>
      <w:r w:rsidRPr="002C1691">
        <w:t>UE applies corresponding configuration based on the UE height. The proposed solutions should aim at avoiding RAN4 impacts. FFS how this would be configured (i.e. different MO configurations or different parameters</w:t>
      </w:r>
      <w:r>
        <w:t xml:space="preserve">. </w:t>
      </w:r>
      <w:r w:rsidRPr="002C1691">
        <w:t>FFS Exact parameters and details.</w:t>
      </w:r>
    </w:p>
    <w:p w14:paraId="0909715A" w14:textId="69DBB4C4" w:rsidR="007B0A69" w:rsidRDefault="007B0A69" w:rsidP="004C10B1">
      <w:pPr>
        <w:rPr>
          <w:lang w:val="en-GB"/>
        </w:rPr>
      </w:pPr>
    </w:p>
    <w:p w14:paraId="4F719210" w14:textId="1E9BC89F" w:rsidR="004918A2" w:rsidRDefault="004918A2" w:rsidP="004918A2">
      <w:pPr>
        <w:rPr>
          <w:lang w:val="en-GB"/>
        </w:rPr>
      </w:pPr>
      <w:r>
        <w:rPr>
          <w:lang w:val="en-GB"/>
        </w:rPr>
        <w:t>In RAN2#121bis, the following agreements were made</w:t>
      </w:r>
      <w:r w:rsidR="00244963">
        <w:rPr>
          <w:lang w:val="en-GB"/>
        </w:rPr>
        <w:t>:</w:t>
      </w:r>
    </w:p>
    <w:p w14:paraId="52FD4DC6" w14:textId="77777777" w:rsidR="004918A2" w:rsidRDefault="004918A2" w:rsidP="004918A2">
      <w:pPr>
        <w:pStyle w:val="Doc-text2"/>
      </w:pPr>
    </w:p>
    <w:p w14:paraId="5A9D763A" w14:textId="77777777" w:rsidR="004918A2" w:rsidRPr="00D947FC" w:rsidRDefault="004918A2" w:rsidP="0054364E">
      <w:pPr>
        <w:pStyle w:val="Doc-text2"/>
        <w:pBdr>
          <w:top w:val="single" w:sz="4" w:space="1" w:color="auto"/>
          <w:left w:val="single" w:sz="4" w:space="4" w:color="auto"/>
          <w:bottom w:val="single" w:sz="4" w:space="1" w:color="auto"/>
          <w:right w:val="single" w:sz="4" w:space="4" w:color="auto"/>
        </w:pBdr>
        <w:tabs>
          <w:tab w:val="clear" w:pos="1622"/>
          <w:tab w:val="left" w:pos="900"/>
        </w:tabs>
        <w:ind w:left="360" w:hanging="360"/>
        <w:rPr>
          <w:b/>
          <w:bCs/>
        </w:rPr>
      </w:pPr>
      <w:r w:rsidRPr="00D947FC">
        <w:rPr>
          <w:b/>
          <w:bCs/>
        </w:rPr>
        <w:t>Agreements</w:t>
      </w:r>
    </w:p>
    <w:p w14:paraId="65CD6BFB"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0C0FE9">
        <w:t>Height-dependent more-than-one configurations is supported on parameter/field level (i.e. different fields/values within the same MO) where different values (or value ranges) of the parameter/field applies to different height or height range.</w:t>
      </w:r>
    </w:p>
    <w:p w14:paraId="14B45F04"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Details on how to specify is FFS</w:t>
      </w:r>
      <w:r>
        <w:t xml:space="preserve">.    </w:t>
      </w:r>
      <w:r w:rsidRPr="002C6AA9">
        <w:t>FFS on UE behavior on L1 and L3 measurement</w:t>
      </w:r>
      <w:r>
        <w:t xml:space="preserve">.  </w:t>
      </w:r>
    </w:p>
    <w:p w14:paraId="66ADE655"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w:t>
      </w:r>
      <w:proofErr w:type="spellStart"/>
      <w:r>
        <w:t>numberoftriggeringcells</w:t>
      </w:r>
      <w:proofErr w:type="spellEnd"/>
      <w:r w:rsidRPr="00CC13DD">
        <w:t>.</w:t>
      </w:r>
      <w:r w:rsidRPr="00DF3A14">
        <w:rPr>
          <w:i/>
          <w:iCs/>
        </w:rPr>
        <w:t xml:space="preserve">  Details on how to specify is FFS (i.e. maybe it can be achieved by combination of events).   </w:t>
      </w:r>
    </w:p>
    <w:p w14:paraId="386A2877" w14:textId="77777777" w:rsidR="004918A2"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5B9F320C" w14:textId="4E1B38CA" w:rsidR="004918A2" w:rsidRPr="006E3D1A" w:rsidRDefault="004918A2" w:rsidP="0054364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054FE7E1" w14:textId="5B9CB603" w:rsidR="004918A2" w:rsidRPr="00927934" w:rsidRDefault="00B34374" w:rsidP="004918A2">
      <w:pPr>
        <w:rPr>
          <w:lang w:val="en-GB"/>
        </w:rPr>
      </w:pPr>
      <w:r w:rsidRPr="00927934">
        <w:rPr>
          <w:lang w:val="en-GB"/>
        </w:rPr>
        <w:lastRenderedPageBreak/>
        <w:t>In RAN2#122</w:t>
      </w:r>
      <w:r w:rsidR="00602C7D" w:rsidRPr="00927934">
        <w:rPr>
          <w:lang w:val="en-GB"/>
        </w:rPr>
        <w:t>, the following agreements were made for enhancements to UAV measurement reports:</w:t>
      </w:r>
    </w:p>
    <w:p w14:paraId="29B88510" w14:textId="77777777" w:rsidR="00163AFD" w:rsidRPr="00927934" w:rsidRDefault="00163AFD" w:rsidP="004F04B9">
      <w:pPr>
        <w:pStyle w:val="Doc-text2"/>
        <w:pBdr>
          <w:top w:val="single" w:sz="4" w:space="1" w:color="auto"/>
          <w:left w:val="single" w:sz="4" w:space="4" w:color="auto"/>
          <w:bottom w:val="single" w:sz="4" w:space="1" w:color="auto"/>
          <w:right w:val="single" w:sz="4" w:space="4" w:color="auto"/>
        </w:pBdr>
        <w:ind w:left="363"/>
        <w:rPr>
          <w:b/>
          <w:bCs/>
        </w:rPr>
      </w:pPr>
      <w:r w:rsidRPr="00927934">
        <w:rPr>
          <w:b/>
          <w:bCs/>
        </w:rPr>
        <w:t>Agreements</w:t>
      </w:r>
    </w:p>
    <w:p w14:paraId="26D57C7F"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t>Add height-based list of SSB-</w:t>
      </w:r>
      <w:proofErr w:type="spellStart"/>
      <w:r w:rsidRPr="00927934">
        <w:t>ToMeasure</w:t>
      </w:r>
      <w:proofErr w:type="spellEnd"/>
      <w:r w:rsidRPr="00927934">
        <w:t xml:space="preserve"> with corresponding height ranges and hysteresis in </w:t>
      </w:r>
      <w:proofErr w:type="spellStart"/>
      <w:r w:rsidRPr="00927934">
        <w:t>MeasObjectNR</w:t>
      </w:r>
      <w:proofErr w:type="spellEnd"/>
      <w:r w:rsidRPr="00927934">
        <w:t xml:space="preserve">.  FFS on the number of height ranges </w:t>
      </w:r>
    </w:p>
    <w:p w14:paraId="6715EB20"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t>As a basic principle, if no height-specific SSB-</w:t>
      </w:r>
      <w:proofErr w:type="spellStart"/>
      <w:r w:rsidRPr="00927934">
        <w:t>ToMeasure</w:t>
      </w:r>
      <w:proofErr w:type="spellEnd"/>
      <w:r w:rsidRPr="00927934">
        <w:t xml:space="preserve"> is configured for a specific height region, the legacy </w:t>
      </w:r>
      <w:proofErr w:type="spellStart"/>
      <w:r w:rsidRPr="00927934">
        <w:t>behaviour</w:t>
      </w:r>
      <w:proofErr w:type="spellEnd"/>
      <w:r w:rsidRPr="00927934">
        <w:t xml:space="preserve"> applies.  </w:t>
      </w:r>
    </w:p>
    <w:p w14:paraId="4EEA2668"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t>For UE behavior on L1 and L3 measurement, it is left to UE implementation whether to keep/discard the old samples while UE moves to a new height region with a different SSB-</w:t>
      </w:r>
      <w:proofErr w:type="spellStart"/>
      <w:r w:rsidRPr="00927934">
        <w:t>ToMeasure</w:t>
      </w:r>
      <w:proofErr w:type="spellEnd"/>
      <w:r w:rsidRPr="00927934">
        <w:t xml:space="preserve"> value</w:t>
      </w:r>
    </w:p>
    <w:p w14:paraId="07D04052"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rPr>
          <w:szCs w:val="28"/>
        </w:rPr>
        <w:t xml:space="preserve">New event types will be introduced on the combination of event Ax and event </w:t>
      </w:r>
      <w:proofErr w:type="spellStart"/>
      <w:r w:rsidRPr="00927934">
        <w:rPr>
          <w:szCs w:val="28"/>
        </w:rPr>
        <w:t>Hx</w:t>
      </w:r>
      <w:proofErr w:type="spellEnd"/>
      <w:r w:rsidRPr="00927934">
        <w:rPr>
          <w:szCs w:val="28"/>
        </w:rP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rsidRPr="00927934">
        <w:rPr>
          <w:szCs w:val="28"/>
        </w:rPr>
        <w:t>numberOfTriggeringCells</w:t>
      </w:r>
      <w:proofErr w:type="spellEnd"/>
      <w:r w:rsidRPr="00927934">
        <w:rPr>
          <w:szCs w:val="28"/>
        </w:rPr>
        <w:t xml:space="preserve">, etc.    This will be applied to all height dependent MR parameters.  </w:t>
      </w:r>
    </w:p>
    <w:p w14:paraId="5B4049C7"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t>Whether UE height is included when UAV specific MR is triggered is configurable by the network.</w:t>
      </w:r>
    </w:p>
    <w:p w14:paraId="4C5B35C7" w14:textId="77777777" w:rsidR="00163AFD" w:rsidRPr="00927934" w:rsidRDefault="00163AFD" w:rsidP="004F04B9">
      <w:pPr>
        <w:pStyle w:val="Doc-text2"/>
        <w:numPr>
          <w:ilvl w:val="0"/>
          <w:numId w:val="23"/>
        </w:numPr>
        <w:pBdr>
          <w:top w:val="single" w:sz="4" w:space="1" w:color="auto"/>
          <w:left w:val="single" w:sz="4" w:space="4" w:color="auto"/>
          <w:bottom w:val="single" w:sz="4" w:space="1" w:color="auto"/>
          <w:right w:val="single" w:sz="4" w:space="4" w:color="auto"/>
        </w:pBdr>
        <w:ind w:left="360"/>
      </w:pPr>
      <w:r w:rsidRPr="00927934">
        <w:t xml:space="preserve">We will use LTE </w:t>
      </w:r>
      <w:proofErr w:type="spellStart"/>
      <w:r w:rsidRPr="00927934">
        <w:t>UEheight</w:t>
      </w:r>
      <w:proofErr w:type="spellEnd"/>
      <w:r w:rsidRPr="00927934">
        <w:t>.</w:t>
      </w:r>
    </w:p>
    <w:p w14:paraId="539C127C" w14:textId="77777777" w:rsidR="00602C7D" w:rsidRPr="004F04B9" w:rsidRDefault="00602C7D" w:rsidP="004918A2"/>
    <w:p w14:paraId="54D457E0" w14:textId="53DA460E"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A00310">
        <w:rPr>
          <w:lang w:val="en-GB"/>
        </w:rPr>
        <w:t xml:space="preserve"> about </w:t>
      </w:r>
      <w:r w:rsidR="007759A7">
        <w:rPr>
          <w:lang w:val="en-GB"/>
        </w:rPr>
        <w:t>measurement report enhancement for UAV UE</w:t>
      </w:r>
      <w:r w:rsidR="00CA1EC2">
        <w:rPr>
          <w:lang w:val="en-GB"/>
        </w:rPr>
        <w:t xml:space="preserve"> in NR</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6950C758" w14:textId="2CF216FB" w:rsidR="005273C2" w:rsidRPr="001E0C81" w:rsidRDefault="00045B3A" w:rsidP="00C44DFE">
      <w:pPr>
        <w:pStyle w:val="Heading1"/>
      </w:pPr>
      <w:r>
        <w:t>Support for ECC decision (22)07</w:t>
      </w:r>
    </w:p>
    <w:p w14:paraId="3A49383E" w14:textId="641A01B9" w:rsidR="00045B3A" w:rsidRPr="00CE0424" w:rsidRDefault="00EC5381" w:rsidP="00045B3A">
      <w:pPr>
        <w:pStyle w:val="Heading2"/>
        <w:tabs>
          <w:tab w:val="clear" w:pos="7238"/>
          <w:tab w:val="num" w:pos="576"/>
        </w:tabs>
        <w:ind w:left="576"/>
      </w:pPr>
      <w:r>
        <w:t>N</w:t>
      </w:r>
      <w:r w:rsidR="00045B3A">
        <w:t>o-transmit zone</w:t>
      </w:r>
    </w:p>
    <w:p w14:paraId="5C36D0D5" w14:textId="77777777" w:rsidR="00EC5381" w:rsidRDefault="00EC5381" w:rsidP="00EC5381">
      <w:pPr>
        <w:rPr>
          <w:lang w:val="en-GB"/>
        </w:rPr>
      </w:pPr>
      <w:r>
        <w:rPr>
          <w:lang w:val="en-GB"/>
        </w:rPr>
        <w:t xml:space="preserve">In November 2022, CEPT made Decision 22(07) on </w:t>
      </w:r>
      <w:r w:rsidRPr="007A3C78">
        <w:rPr>
          <w:lang w:val="en-GB"/>
        </w:rPr>
        <w:t xml:space="preserve">Harmonised technical conditions for the usage of aerial UE for communications based on LTE and 5G NR in </w:t>
      </w:r>
      <w:r>
        <w:rPr>
          <w:lang w:val="en-GB"/>
        </w:rPr>
        <w:t xml:space="preserve">several </w:t>
      </w:r>
      <w:r w:rsidRPr="007A3C78">
        <w:rPr>
          <w:lang w:val="en-GB"/>
        </w:rPr>
        <w:t>bands</w:t>
      </w:r>
      <w:r>
        <w:rPr>
          <w:lang w:val="en-GB"/>
        </w:rP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p>
    <w:tbl>
      <w:tblPr>
        <w:tblStyle w:val="TableGrid"/>
        <w:tblW w:w="0" w:type="auto"/>
        <w:tblLook w:val="04A0" w:firstRow="1" w:lastRow="0" w:firstColumn="1" w:lastColumn="0" w:noHBand="0" w:noVBand="1"/>
      </w:tblPr>
      <w:tblGrid>
        <w:gridCol w:w="9629"/>
      </w:tblGrid>
      <w:tr w:rsidR="00EC5381" w14:paraId="27C27CED" w14:textId="77777777" w:rsidTr="0044290F">
        <w:tc>
          <w:tcPr>
            <w:tcW w:w="9629" w:type="dxa"/>
          </w:tcPr>
          <w:p w14:paraId="3DF67237" w14:textId="77777777" w:rsidR="00EC5381" w:rsidRDefault="00EC5381" w:rsidP="0044290F">
            <w:pPr>
              <w:spacing w:before="240" w:after="60"/>
            </w:pPr>
            <w:r w:rsidRPr="000C4203">
              <w:t xml:space="preserve">In addition to the already </w:t>
            </w:r>
            <w:proofErr w:type="spellStart"/>
            <w:r w:rsidRPr="000C4203">
              <w:t>harmonised</w:t>
            </w:r>
            <w:proofErr w:type="spellEnd"/>
            <w:r w:rsidRPr="000C4203">
              <w:t xml:space="preserve">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328884F8" w14:textId="77777777" w:rsidR="00EC5381" w:rsidRDefault="00EC5381" w:rsidP="0044290F">
            <w:pPr>
              <w:spacing w:before="240" w:after="60"/>
            </w:pPr>
            <w:r>
              <w:t>…</w:t>
            </w:r>
          </w:p>
          <w:p w14:paraId="3A61E188" w14:textId="77777777" w:rsidR="00EC5381" w:rsidRPr="00D8027C" w:rsidRDefault="00EC5381" w:rsidP="0044290F">
            <w:pPr>
              <w:keepNext/>
              <w:pageBreakBefore/>
              <w:overflowPunct/>
              <w:autoSpaceDE/>
              <w:autoSpaceDN/>
              <w:adjustRightInd/>
              <w:spacing w:before="400" w:after="240"/>
              <w:jc w:val="left"/>
              <w:textAlignment w:val="auto"/>
              <w:outlineLvl w:val="0"/>
              <w:rPr>
                <w:rFonts w:eastAsia="Times New Roman" w:cs="Arial"/>
                <w:b/>
                <w:bCs/>
                <w:caps/>
                <w:color w:val="D2232A"/>
                <w:kern w:val="32"/>
                <w:szCs w:val="32"/>
                <w:lang w:val="en-GB" w:eastAsia="en-US"/>
              </w:rPr>
            </w:pPr>
            <w:r w:rsidRPr="00D8027C">
              <w:rPr>
                <w:rFonts w:eastAsia="Times New Roman" w:cs="Arial"/>
                <w:b/>
                <w:bCs/>
                <w:caps/>
                <w:color w:val="D2232A"/>
                <w:kern w:val="32"/>
                <w:szCs w:val="32"/>
                <w:lang w:val="en-GB" w:eastAsia="en-US"/>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5815E42A" w14:textId="77777777" w:rsidR="00EC5381" w:rsidRPr="00D8027C" w:rsidRDefault="00EC5381" w:rsidP="0044290F">
            <w:pPr>
              <w:overflowPunct/>
              <w:autoSpaceDE/>
              <w:autoSpaceDN/>
              <w:adjustRightInd/>
              <w:spacing w:before="240" w:after="60"/>
              <w:textAlignment w:val="auto"/>
              <w:rPr>
                <w:rFonts w:eastAsia="Times New Roman"/>
                <w:szCs w:val="24"/>
                <w:lang w:val="en-GB" w:eastAsia="en-US"/>
              </w:rPr>
            </w:pPr>
            <w:r w:rsidRPr="00D8027C">
              <w:rPr>
                <w:rFonts w:eastAsia="Times New Roman"/>
                <w:szCs w:val="24"/>
                <w:lang w:val="en-GB" w:eastAsia="en-US"/>
              </w:rPr>
              <w:t>“The European Conference of Postal and Telecommunications Administrations,</w:t>
            </w:r>
          </w:p>
          <w:p w14:paraId="5ADEFD37" w14:textId="77777777" w:rsidR="00EC5381" w:rsidRDefault="00EC5381" w:rsidP="0044290F">
            <w:pPr>
              <w:spacing w:before="240" w:after="60"/>
              <w:rPr>
                <w:rFonts w:eastAsia="Times New Roman"/>
                <w:i/>
                <w:iCs/>
                <w:color w:val="D2232A"/>
                <w:szCs w:val="24"/>
                <w:lang w:eastAsia="en-US"/>
              </w:rPr>
            </w:pPr>
            <w:r w:rsidRPr="00D8027C">
              <w:rPr>
                <w:rFonts w:eastAsia="Times New Roman"/>
                <w:i/>
                <w:iCs/>
                <w:color w:val="D2232A"/>
                <w:szCs w:val="24"/>
                <w:lang w:eastAsia="en-US"/>
              </w:rPr>
              <w:t>Considering</w:t>
            </w:r>
          </w:p>
          <w:p w14:paraId="37A51EA4" w14:textId="77777777" w:rsidR="00EC5381" w:rsidRDefault="00EC5381" w:rsidP="0044290F">
            <w:pPr>
              <w:spacing w:before="240" w:after="60"/>
              <w:rPr>
                <w:rFonts w:eastAsia="Times New Roman"/>
                <w:i/>
                <w:iCs/>
                <w:color w:val="D2232A"/>
                <w:szCs w:val="24"/>
              </w:rPr>
            </w:pPr>
            <w:r>
              <w:rPr>
                <w:rFonts w:eastAsia="Times New Roman"/>
                <w:i/>
                <w:iCs/>
                <w:color w:val="D2232A"/>
                <w:szCs w:val="24"/>
              </w:rPr>
              <w:t>…</w:t>
            </w:r>
          </w:p>
          <w:p w14:paraId="5495567D" w14:textId="77777777" w:rsidR="00EC5381" w:rsidRPr="00D8027C" w:rsidRDefault="00EC5381" w:rsidP="00EC5381">
            <w:pPr>
              <w:numPr>
                <w:ilvl w:val="0"/>
                <w:numId w:val="25"/>
              </w:numPr>
              <w:tabs>
                <w:tab w:val="left" w:pos="567"/>
              </w:tabs>
              <w:overflowPunct/>
              <w:autoSpaceDE/>
              <w:autoSpaceDN/>
              <w:adjustRightInd/>
              <w:spacing w:after="240"/>
              <w:ind w:left="597" w:hanging="567"/>
              <w:textAlignment w:val="auto"/>
              <w:rPr>
                <w:rFonts w:eastAsia="Times New Roman"/>
                <w:szCs w:val="24"/>
                <w:lang w:eastAsia="en-US"/>
              </w:rPr>
            </w:pPr>
            <w:r w:rsidRPr="00D8027C">
              <w:rPr>
                <w:rFonts w:eastAsia="Times New Roman"/>
                <w:szCs w:val="24"/>
                <w:lang w:eastAsia="en-US"/>
              </w:rPr>
              <w:lastRenderedPageBreak/>
              <w:t xml:space="preserve">that a no-transmit zone in this Decision is defined as a geographical area where aerial UE are not allowed to transmit for spectrum compatibility purposes in a given </w:t>
            </w:r>
            <w:proofErr w:type="spellStart"/>
            <w:r w:rsidRPr="00D8027C">
              <w:rPr>
                <w:rFonts w:eastAsia="Times New Roman"/>
                <w:szCs w:val="24"/>
                <w:lang w:eastAsia="en-US"/>
              </w:rPr>
              <w:t>harmonised</w:t>
            </w:r>
            <w:proofErr w:type="spellEnd"/>
            <w:r w:rsidRPr="00D8027C">
              <w:rPr>
                <w:rFonts w:eastAsia="Times New Roman"/>
                <w:szCs w:val="24"/>
                <w:lang w:eastAsia="en-US"/>
              </w:rPr>
              <w:t xml:space="preserve"> MFCN band or part of it;</w:t>
            </w:r>
          </w:p>
          <w:p w14:paraId="0023DC3F" w14:textId="77777777" w:rsidR="00EC5381" w:rsidRPr="00D8027C" w:rsidRDefault="00EC5381" w:rsidP="00EC5381">
            <w:pPr>
              <w:numPr>
                <w:ilvl w:val="0"/>
                <w:numId w:val="25"/>
              </w:numPr>
              <w:tabs>
                <w:tab w:val="left" w:pos="567"/>
              </w:tabs>
              <w:overflowPunct/>
              <w:autoSpaceDE/>
              <w:autoSpaceDN/>
              <w:adjustRightInd/>
              <w:spacing w:after="240"/>
              <w:ind w:left="567" w:hanging="567"/>
              <w:textAlignment w:val="auto"/>
              <w:rPr>
                <w:rFonts w:eastAsia="Times New Roman"/>
                <w:szCs w:val="24"/>
                <w:lang w:val="en-GB" w:eastAsia="en-US"/>
              </w:rPr>
            </w:pPr>
            <w:r w:rsidRPr="00D8027C">
              <w:rPr>
                <w:rFonts w:eastAsia="Times New Roman"/>
                <w:szCs w:val="24"/>
                <w:lang w:val="en-GB" w:eastAsia="en-US"/>
              </w:rPr>
              <w:t>that national studies are needed, as appropriate, to define no-transmit zones for spectrum compatibility purposes, for aerial UE operating in the relevant frequency bands;</w:t>
            </w:r>
            <w:r w:rsidRPr="00D8027C">
              <w:rPr>
                <w:rFonts w:eastAsia="Times New Roman"/>
                <w:szCs w:val="24"/>
                <w:lang w:eastAsia="en-US"/>
              </w:rPr>
              <w:t xml:space="preserve"> </w:t>
            </w:r>
          </w:p>
          <w:p w14:paraId="7AC50066" w14:textId="77777777" w:rsidR="00EC5381" w:rsidRPr="00D8027C" w:rsidRDefault="00EC5381" w:rsidP="00EC5381">
            <w:pPr>
              <w:numPr>
                <w:ilvl w:val="0"/>
                <w:numId w:val="25"/>
              </w:numPr>
              <w:tabs>
                <w:tab w:val="left" w:pos="567"/>
              </w:tabs>
              <w:overflowPunct/>
              <w:autoSpaceDE/>
              <w:autoSpaceDN/>
              <w:adjustRightInd/>
              <w:spacing w:after="240"/>
              <w:ind w:left="567" w:hanging="567"/>
              <w:textAlignment w:val="auto"/>
              <w:rPr>
                <w:rFonts w:eastAsia="Times New Roman"/>
                <w:szCs w:val="24"/>
                <w:lang w:eastAsia="en-US"/>
              </w:rPr>
            </w:pPr>
            <w:r w:rsidRPr="00D8027C">
              <w:rPr>
                <w:rFonts w:eastAsia="Times New Roman"/>
                <w:szCs w:val="24"/>
                <w:lang w:eastAsia="en-US"/>
              </w:rPr>
              <w:t>that a mechanism is necessary to ensure that aerial UE respect no-transmit zones;</w:t>
            </w:r>
          </w:p>
          <w:p w14:paraId="72AD4D01" w14:textId="77777777" w:rsidR="00EC5381" w:rsidRDefault="00EC5381" w:rsidP="0044290F">
            <w:pPr>
              <w:spacing w:before="240" w:after="60"/>
              <w:rPr>
                <w:lang w:val="en-GB"/>
              </w:rPr>
            </w:pPr>
            <w:r>
              <w:rPr>
                <w:lang w:val="en-GB"/>
              </w:rPr>
              <w:t>…</w:t>
            </w:r>
          </w:p>
          <w:p w14:paraId="7D7002A4" w14:textId="77777777" w:rsidR="00EC5381" w:rsidRDefault="00EC5381" w:rsidP="0044290F">
            <w:pPr>
              <w:overflowPunct/>
              <w:autoSpaceDE/>
              <w:autoSpaceDN/>
              <w:adjustRightInd/>
              <w:spacing w:before="240" w:after="60"/>
              <w:textAlignment w:val="auto"/>
              <w:rPr>
                <w:rFonts w:eastAsia="Times New Roman" w:cs="Arial"/>
                <w:i/>
                <w:color w:val="D2232A"/>
                <w:szCs w:val="24"/>
                <w:lang w:val="en-GB" w:eastAsia="en-US"/>
              </w:rPr>
            </w:pPr>
            <w:r w:rsidRPr="00D8027C">
              <w:rPr>
                <w:rFonts w:eastAsia="Times New Roman" w:cs="Arial"/>
                <w:i/>
                <w:color w:val="D2232A"/>
                <w:szCs w:val="24"/>
                <w:lang w:val="en-GB" w:eastAsia="en-US"/>
              </w:rPr>
              <w:t>DECIDES</w:t>
            </w:r>
          </w:p>
          <w:p w14:paraId="4D224158" w14:textId="77777777" w:rsidR="00EC5381" w:rsidRPr="00D8027C" w:rsidRDefault="00EC5381" w:rsidP="0044290F">
            <w:pPr>
              <w:overflowPunct/>
              <w:autoSpaceDE/>
              <w:autoSpaceDN/>
              <w:adjustRightInd/>
              <w:spacing w:before="240" w:after="60"/>
              <w:textAlignment w:val="auto"/>
              <w:rPr>
                <w:rFonts w:eastAsia="Times New Roman" w:cs="Arial"/>
                <w:i/>
                <w:color w:val="D2232A"/>
                <w:szCs w:val="24"/>
                <w:lang w:val="en-GB" w:eastAsia="en-US"/>
              </w:rPr>
            </w:pPr>
            <w:r>
              <w:rPr>
                <w:rFonts w:eastAsia="Times New Roman" w:cs="Arial"/>
                <w:i/>
                <w:color w:val="D2232A"/>
                <w:szCs w:val="24"/>
                <w:lang w:val="en-GB" w:eastAsia="en-US"/>
              </w:rPr>
              <w:t>….</w:t>
            </w:r>
          </w:p>
          <w:p w14:paraId="363198DF" w14:textId="77777777" w:rsidR="00EC5381" w:rsidRDefault="00EC5381" w:rsidP="0044290F">
            <w:pPr>
              <w:spacing w:before="240" w:after="60"/>
              <w:rPr>
                <w:lang w:val="en-GB"/>
              </w:rPr>
            </w:pPr>
            <w:r w:rsidRPr="00D8027C">
              <w:rPr>
                <w:rFonts w:eastAsia="Times New Roman"/>
                <w:szCs w:val="24"/>
                <w:lang w:eastAsia="en-US"/>
              </w:rPr>
              <w:t>t</w:t>
            </w:r>
            <w:r w:rsidRPr="00D8027C">
              <w:rPr>
                <w:rFonts w:eastAsia="Times New Roman"/>
                <w:iCs/>
                <w:szCs w:val="24"/>
                <w:lang w:eastAsia="en-US"/>
              </w:rPr>
              <w:t xml:space="preserve">hat no-transmit zones as described in this Decision should be defined and implemented at national level and where necessary coordinated with </w:t>
            </w:r>
            <w:proofErr w:type="spellStart"/>
            <w:r w:rsidRPr="00D8027C">
              <w:rPr>
                <w:rFonts w:eastAsia="Times New Roman"/>
                <w:iCs/>
                <w:szCs w:val="24"/>
                <w:lang w:eastAsia="en-US"/>
              </w:rPr>
              <w:t>neighbouring</w:t>
            </w:r>
            <w:proofErr w:type="spellEnd"/>
            <w:r w:rsidRPr="00D8027C">
              <w:rPr>
                <w:rFonts w:eastAsia="Times New Roman"/>
                <w:iCs/>
                <w:szCs w:val="24"/>
                <w:lang w:eastAsia="en-US"/>
              </w:rPr>
              <w:t xml:space="preserve"> countries;</w:t>
            </w:r>
          </w:p>
        </w:tc>
      </w:tr>
    </w:tbl>
    <w:p w14:paraId="6B3F68BC" w14:textId="77777777" w:rsidR="00EC5381" w:rsidRDefault="00EC5381" w:rsidP="00EC5381">
      <w:pPr>
        <w:rPr>
          <w:lang w:val="en-GB"/>
        </w:rPr>
      </w:pPr>
    </w:p>
    <w:p w14:paraId="7AA1EFED" w14:textId="77777777" w:rsidR="00EC5381" w:rsidRDefault="00EC5381" w:rsidP="00EC5381">
      <w:pPr>
        <w:rPr>
          <w:lang w:val="en-GB"/>
        </w:rPr>
      </w:pPr>
      <w:r>
        <w:rPr>
          <w:lang w:val="en-GB"/>
        </w:rPr>
        <w:t xml:space="preserve">As can be seen in n) above, the ECC Decision asserts that a mechanism is necessary to ensure that aerial UE respect no-transmit zones. </w:t>
      </w:r>
    </w:p>
    <w:p w14:paraId="317E4C36" w14:textId="77777777" w:rsidR="00EC5381" w:rsidRDefault="00EC5381" w:rsidP="00EC5381">
      <w:pPr>
        <w:pStyle w:val="Observation"/>
        <w:ind w:left="1701" w:hanging="1701"/>
        <w:rPr>
          <w:lang w:val="en-GB"/>
        </w:rPr>
      </w:pPr>
      <w:bookmarkStart w:id="3" w:name="_Toc136871176"/>
      <w:bookmarkStart w:id="4" w:name="_Toc142587535"/>
      <w:r>
        <w:rPr>
          <w:lang w:val="en-GB"/>
        </w:rPr>
        <w:t>As with additional OOBE requirements, no-transmit zones are important to protect incumbent radio systems from potential interference from aerial UEs.</w:t>
      </w:r>
      <w:bookmarkEnd w:id="3"/>
      <w:bookmarkEnd w:id="4"/>
    </w:p>
    <w:p w14:paraId="3469B536" w14:textId="553E89DC" w:rsidR="003D38CB" w:rsidRPr="004F04B9" w:rsidRDefault="00EC5381" w:rsidP="004F04B9">
      <w:pPr>
        <w:pStyle w:val="Observation"/>
        <w:ind w:left="1701" w:hanging="1701"/>
        <w:rPr>
          <w:lang w:val="en-GB"/>
        </w:rPr>
      </w:pPr>
      <w:bookmarkStart w:id="5" w:name="_Toc136871177"/>
      <w:bookmarkStart w:id="6" w:name="_Toc142587536"/>
      <w:r w:rsidRPr="004F04B9">
        <w:rPr>
          <w:lang w:val="en-GB"/>
        </w:rPr>
        <w:t>ECC decision (22)07 on “harmonised framework on aerial UE usage in MFCN harmonised bands” requires a mechanism to ensure that aerial UEs respect no-transmit zones</w:t>
      </w:r>
      <w:r w:rsidRPr="00045B3A">
        <w:rPr>
          <w:lang w:val="en-GB"/>
        </w:rPr>
        <w:t>.</w:t>
      </w:r>
      <w:bookmarkEnd w:id="5"/>
      <w:bookmarkEnd w:id="6"/>
    </w:p>
    <w:p w14:paraId="30D827A7" w14:textId="45DC6DB6" w:rsidR="007500E3" w:rsidRDefault="007500E3" w:rsidP="007500E3">
      <w:r w:rsidRPr="007500E3">
        <w:t>This CEPT Decision was discussed in TSG RAN#100 and RAN send LS to SA2(</w:t>
      </w:r>
      <w:proofErr w:type="spellStart"/>
      <w:r w:rsidRPr="007500E3">
        <w:t>ccSA</w:t>
      </w:r>
      <w:proofErr w:type="spellEnd"/>
      <w:r w:rsidRPr="007500E3">
        <w:t xml:space="preserve">) in </w:t>
      </w:r>
      <w:r>
        <w:fldChar w:fldCharType="begin"/>
      </w:r>
      <w:r>
        <w:instrText xml:space="preserve"> REF _Ref140833618 \r \h </w:instrText>
      </w:r>
      <w:r>
        <w:fldChar w:fldCharType="separate"/>
      </w:r>
      <w:r>
        <w:t>[13]</w:t>
      </w:r>
      <w:r>
        <w:fldChar w:fldCharType="end"/>
      </w:r>
      <w:r w:rsidRPr="007500E3">
        <w:t xml:space="preserve"> with the following action:</w:t>
      </w:r>
    </w:p>
    <w:p w14:paraId="74F708E0" w14:textId="77777777" w:rsidR="007500E3" w:rsidRDefault="007500E3" w:rsidP="004F04B9">
      <w:pPr>
        <w:ind w:left="2552" w:hanging="1985"/>
        <w:rPr>
          <w:rFonts w:cs="Arial"/>
          <w:b/>
        </w:rPr>
      </w:pPr>
      <w:r>
        <w:rPr>
          <w:rFonts w:cs="Arial"/>
          <w:b/>
        </w:rPr>
        <w:t xml:space="preserve">To SA2: </w:t>
      </w:r>
    </w:p>
    <w:p w14:paraId="441C6D4A" w14:textId="77777777" w:rsidR="007500E3" w:rsidRPr="0077083F" w:rsidRDefault="007500E3" w:rsidP="004F04B9">
      <w:pPr>
        <w:ind w:left="1560" w:hanging="993"/>
        <w:rPr>
          <w:color w:val="000000" w:themeColor="text1"/>
        </w:rPr>
      </w:pPr>
      <w:r>
        <w:rPr>
          <w:rFonts w:cs="Arial"/>
          <w:b/>
        </w:rPr>
        <w:t xml:space="preserve">ACTION: </w:t>
      </w:r>
      <w:r>
        <w:rPr>
          <w:color w:val="0070C0"/>
        </w:rPr>
        <w:t xml:space="preserve"> </w:t>
      </w:r>
      <w:r w:rsidRPr="0077083F">
        <w:rPr>
          <w:color w:val="000000" w:themeColor="text1"/>
        </w:rPr>
        <w:t xml:space="preserve">Given the need to respond to ECC, TSG RAN respectfully asks SA2 for their view on solutions to support geographical no-transmit zones for UAVs according to the operational restrictions outlined in CEPT Decision 22(07), including whether and how SA2 intends to address this and/or whether RAN WGs should consider solutions. </w:t>
      </w:r>
    </w:p>
    <w:p w14:paraId="1C7189F1" w14:textId="77777777" w:rsidR="007500E3" w:rsidRPr="007500E3" w:rsidRDefault="007500E3" w:rsidP="007500E3"/>
    <w:p w14:paraId="791460BC" w14:textId="0024BFB2" w:rsidR="007500E3" w:rsidRDefault="007500E3" w:rsidP="007500E3">
      <w:r w:rsidRPr="004F04B9">
        <w:t>While we acknowledge that RAN2 should wait for SA2/RAN further input</w:t>
      </w:r>
      <w:r>
        <w:t xml:space="preserve"> we still repeat our view that RAN2 should specify the needed support in Rel-18 timeframe.</w:t>
      </w:r>
      <w:r w:rsidR="00426A60">
        <w:t xml:space="preserve"> It is in our mind important to address this in Rel-18 (rather than to wait to a later release) to avoid ending up in a situation where Rel-18 UAVs do not support any solution for this requirement and hence become unusable where the requirement applies (i.e. in EU).</w:t>
      </w:r>
    </w:p>
    <w:p w14:paraId="12609776" w14:textId="77777777" w:rsidR="007500E3" w:rsidRPr="004F04B9" w:rsidRDefault="007500E3" w:rsidP="004F04B9"/>
    <w:p w14:paraId="7BA31C04" w14:textId="04A032AD" w:rsidR="0004564C" w:rsidRPr="00134316" w:rsidRDefault="0004564C" w:rsidP="00B73F6B">
      <w:pPr>
        <w:pStyle w:val="Proposal"/>
        <w:numPr>
          <w:ilvl w:val="0"/>
          <w:numId w:val="3"/>
        </w:numPr>
        <w:tabs>
          <w:tab w:val="clear" w:pos="5556"/>
        </w:tabs>
        <w:ind w:left="1701" w:hanging="1701"/>
        <w:rPr>
          <w:rFonts w:eastAsia="Times New Roman"/>
          <w:lang w:val="en-GB"/>
        </w:rPr>
      </w:pPr>
      <w:bookmarkStart w:id="7" w:name="_Toc142587547"/>
      <w:r w:rsidRPr="00134316">
        <w:rPr>
          <w:rFonts w:eastAsia="Times New Roman"/>
          <w:lang w:val="en-GB"/>
        </w:rPr>
        <w:t xml:space="preserve">RAN2 to study and specify mechanisms to </w:t>
      </w:r>
      <w:proofErr w:type="spellStart"/>
      <w:r w:rsidRPr="00134316">
        <w:rPr>
          <w:rFonts w:eastAsia="Times New Roman"/>
          <w:lang w:val="en-GB"/>
        </w:rPr>
        <w:t>fulfill</w:t>
      </w:r>
      <w:proofErr w:type="spellEnd"/>
      <w:r w:rsidRPr="00134316">
        <w:rPr>
          <w:rFonts w:eastAsia="Times New Roman"/>
          <w:lang w:val="en-GB"/>
        </w:rPr>
        <w:t xml:space="preserve"> requirements on no-transmit zone in ECC Decision (22)07</w:t>
      </w:r>
      <w:r w:rsidR="007500E3">
        <w:rPr>
          <w:rFonts w:eastAsia="Times New Roman"/>
          <w:lang w:val="en-GB"/>
        </w:rPr>
        <w:t xml:space="preserve"> in the ongoing WI.</w:t>
      </w:r>
      <w:bookmarkEnd w:id="7"/>
    </w:p>
    <w:p w14:paraId="62AEE5A1" w14:textId="77777777" w:rsidR="004416D7" w:rsidRDefault="004416D7" w:rsidP="00045B3A"/>
    <w:p w14:paraId="1AEE3440" w14:textId="77777777" w:rsidR="00AC0370" w:rsidRDefault="00AC0370" w:rsidP="004F04B9">
      <w:pPr>
        <w:pStyle w:val="Heading2"/>
        <w:tabs>
          <w:tab w:val="clear" w:pos="7238"/>
          <w:tab w:val="num" w:pos="576"/>
        </w:tabs>
        <w:ind w:left="576"/>
      </w:pPr>
      <w:r>
        <w:t>Mechanisms to support no-transmit zones</w:t>
      </w:r>
    </w:p>
    <w:p w14:paraId="3F573BEA" w14:textId="7BF29900" w:rsidR="00AC0370" w:rsidRDefault="00AC0370" w:rsidP="00AC0370">
      <w:r>
        <w:t>First thing to elaborate is what would be the impact of no-transmit zones</w:t>
      </w:r>
      <w:r w:rsidR="00873552">
        <w:t xml:space="preserve"> (NTZs)</w:t>
      </w:r>
      <w:r>
        <w:t xml:space="preserve"> on UAV communications in practice. Apparently, it would cover UL traffic from a UAV in connected mode which may include heavy user plane in UL but also UAV command and control, and control plane signaling needed to maintain the UAV in connected mode and supporting, e.g., mobility. If </w:t>
      </w:r>
      <w:r w:rsidR="00873552">
        <w:t>NTZ</w:t>
      </w:r>
      <w:r>
        <w:t xml:space="preserve"> is to be understood in a very strict manner it would mean UE should not perform initial access to a cell in NTZ. In that case, a UAV UE may not even camp on such cell. In a less strict scenario, the UE could access the cell but is steered to another cell for further transmissions. Note that a flying UAV could see several cells and could potentially be served by a far- away cell even if the UAV itself would be in no-transmit zone or close to it.</w:t>
      </w:r>
    </w:p>
    <w:p w14:paraId="10A2507C" w14:textId="77777777" w:rsidR="00AC0370" w:rsidRDefault="00AC0370" w:rsidP="00AC0370">
      <w:r>
        <w:lastRenderedPageBreak/>
        <w:t>Yet another aspect to consider is the potential interference to neighbor cells. In a case UAV is in no-transmit zone but connecting to another cell, UAV may cause unwanted interference. Also, in case UAV is close to non-transmit zone.</w:t>
      </w:r>
    </w:p>
    <w:p w14:paraId="3DF65BAC" w14:textId="77777777" w:rsidR="00AC0370" w:rsidRPr="00045B3A" w:rsidRDefault="00AC0370" w:rsidP="00AC0370">
      <w:pPr>
        <w:pStyle w:val="Observation"/>
        <w:ind w:left="1701" w:hanging="1701"/>
        <w:rPr>
          <w:lang w:val="en-GB"/>
        </w:rPr>
      </w:pPr>
      <w:bookmarkStart w:id="8" w:name="_Toc136871179"/>
      <w:bookmarkStart w:id="9" w:name="_Toc142587537"/>
      <w:r>
        <w:rPr>
          <w:lang w:val="en-GB"/>
        </w:rPr>
        <w:t>NTZs can affect aerial UE access to a cell and interference to neighbouring cells</w:t>
      </w:r>
      <w:r w:rsidRPr="00045B3A">
        <w:rPr>
          <w:lang w:val="en-GB"/>
        </w:rPr>
        <w:t>.</w:t>
      </w:r>
      <w:bookmarkEnd w:id="8"/>
      <w:bookmarkEnd w:id="9"/>
    </w:p>
    <w:p w14:paraId="1D225B7F" w14:textId="77777777" w:rsidR="00AC0370" w:rsidRDefault="00AC0370" w:rsidP="00AC0370">
      <w:r>
        <w:t xml:space="preserve">Given the analysis above, we foresee two types of mechanisms for an aerial UE to respect NTZ, which will be discussed next. </w:t>
      </w:r>
    </w:p>
    <w:p w14:paraId="4A1CCEBC" w14:textId="77777777" w:rsidR="00AC0370" w:rsidRDefault="00AC0370" w:rsidP="00AC0370">
      <w:r>
        <w:t xml:space="preserve">First, at cell-level granularity, given that a NTZ is a geographical area with static or semi-static location, the mobile network can be well-aware of the NTZ and knows which cells overlap with the NTZ. Therefore, the network can take certain measures to bar an aerial UE from connecting to a cell which have overlaps with the NTZ. </w:t>
      </w:r>
    </w:p>
    <w:p w14:paraId="4E33D398" w14:textId="605F294E" w:rsidR="00AC0370" w:rsidRPr="00045B3A" w:rsidRDefault="00AC0370" w:rsidP="00AC0370">
      <w:pPr>
        <w:pStyle w:val="Observation"/>
        <w:ind w:left="1701" w:hanging="1701"/>
        <w:rPr>
          <w:lang w:val="en-GB"/>
        </w:rPr>
      </w:pPr>
      <w:bookmarkStart w:id="10" w:name="_Toc136871180"/>
      <w:bookmarkStart w:id="11" w:name="_Toc142587538"/>
      <w:r>
        <w:rPr>
          <w:lang w:val="en-GB"/>
        </w:rPr>
        <w:t xml:space="preserve">Cell-level </w:t>
      </w:r>
      <w:r w:rsidR="0009009B">
        <w:rPr>
          <w:lang w:val="en-GB"/>
        </w:rPr>
        <w:t>mechanisms</w:t>
      </w:r>
      <w:r>
        <w:rPr>
          <w:lang w:val="en-GB"/>
        </w:rPr>
        <w:t xml:space="preserve"> can be imposed by RAN nodes to bar aerial UEs from accessing NTZ-affected cells</w:t>
      </w:r>
      <w:r w:rsidRPr="00045B3A">
        <w:rPr>
          <w:lang w:val="en-GB"/>
        </w:rPr>
        <w:t>.</w:t>
      </w:r>
      <w:bookmarkEnd w:id="10"/>
      <w:bookmarkEnd w:id="11"/>
    </w:p>
    <w:p w14:paraId="35494B21" w14:textId="77777777" w:rsidR="00AC0370" w:rsidRPr="00045B3A" w:rsidRDefault="00AC0370" w:rsidP="00AC0370">
      <w:r>
        <w:t xml:space="preserve">Second, at a finer granularity, signaling can be defined for </w:t>
      </w:r>
      <w:r w:rsidRPr="00045B3A">
        <w:t xml:space="preserve">a connected drone </w:t>
      </w:r>
      <w:r>
        <w:t xml:space="preserve">to inform RAN nodes when the drone </w:t>
      </w:r>
      <w:r w:rsidRPr="00045B3A">
        <w:t xml:space="preserve">is entering a NTZ, </w:t>
      </w:r>
      <w:r>
        <w:t xml:space="preserve">allowing </w:t>
      </w:r>
      <w:r w:rsidRPr="00045B3A">
        <w:t xml:space="preserve">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r>
        <w:t>This may be needed, e.g., to monitor interference caused by UAVs near the NTZ.</w:t>
      </w:r>
    </w:p>
    <w:p w14:paraId="57D413D1" w14:textId="77777777" w:rsidR="00AC0370" w:rsidRPr="00045B3A" w:rsidRDefault="00AC0370" w:rsidP="00AC0370">
      <w:pPr>
        <w:pStyle w:val="Observation"/>
        <w:ind w:left="1701" w:hanging="1701"/>
        <w:rPr>
          <w:lang w:val="en-GB"/>
        </w:rPr>
      </w:pPr>
      <w:bookmarkStart w:id="12" w:name="_Toc134751167"/>
      <w:bookmarkStart w:id="13" w:name="_Toc136871181"/>
      <w:bookmarkStart w:id="14" w:name="_Toc142587539"/>
      <w:r>
        <w:rPr>
          <w:lang w:val="en-GB"/>
        </w:rPr>
        <w:t xml:space="preserve">Connected aerial UEs can inform RAN nodes </w:t>
      </w:r>
      <w:r w:rsidRPr="00045B3A">
        <w:rPr>
          <w:lang w:val="en-GB"/>
        </w:rPr>
        <w:t xml:space="preserve">when </w:t>
      </w:r>
      <w:r>
        <w:rPr>
          <w:lang w:val="en-GB"/>
        </w:rPr>
        <w:t>the UEs</w:t>
      </w:r>
      <w:r w:rsidRPr="00045B3A">
        <w:rPr>
          <w:lang w:val="en-GB"/>
        </w:rPr>
        <w:t xml:space="preserve"> </w:t>
      </w:r>
      <w:r>
        <w:rPr>
          <w:lang w:val="en-GB"/>
        </w:rPr>
        <w:t>are</w:t>
      </w:r>
      <w:r w:rsidRPr="00045B3A">
        <w:rPr>
          <w:lang w:val="en-GB"/>
        </w:rPr>
        <w:t xml:space="preserve"> entering or leaving no-transmit </w:t>
      </w:r>
      <w:bookmarkEnd w:id="12"/>
      <w:r w:rsidRPr="00045B3A">
        <w:rPr>
          <w:lang w:val="en-GB"/>
        </w:rPr>
        <w:t>zone</w:t>
      </w:r>
      <w:r>
        <w:rPr>
          <w:lang w:val="en-GB"/>
        </w:rPr>
        <w:t>s</w:t>
      </w:r>
      <w:r w:rsidRPr="00045B3A">
        <w:rPr>
          <w:lang w:val="en-GB"/>
        </w:rPr>
        <w:t>.</w:t>
      </w:r>
      <w:bookmarkEnd w:id="13"/>
      <w:bookmarkEnd w:id="14"/>
    </w:p>
    <w:p w14:paraId="7E09292A" w14:textId="77777777" w:rsidR="00AC0370" w:rsidRDefault="00AC0370" w:rsidP="00AC0370">
      <w:r>
        <w:t>The above may be needed in deployments that have large cells serving the UAVs.</w:t>
      </w:r>
    </w:p>
    <w:p w14:paraId="407D3435" w14:textId="77777777" w:rsidR="00AC0370" w:rsidRDefault="00AC0370" w:rsidP="00AC0370">
      <w:r>
        <w:t>In our view, the first mechanism (cell-level) has several advantages:</w:t>
      </w:r>
    </w:p>
    <w:p w14:paraId="1E48AA26" w14:textId="77777777" w:rsidR="00AC0370" w:rsidRDefault="00AC0370" w:rsidP="00AC0370">
      <w:pPr>
        <w:pStyle w:val="ListParagraph"/>
        <w:numPr>
          <w:ilvl w:val="0"/>
          <w:numId w:val="27"/>
        </w:numPr>
      </w:pPr>
      <w:r>
        <w:t>It is applicable to UEs in both Connected mode and Idle mode,</w:t>
      </w:r>
    </w:p>
    <w:p w14:paraId="64B445ED" w14:textId="77777777" w:rsidR="00AC0370" w:rsidRDefault="00AC0370" w:rsidP="00AC0370">
      <w:pPr>
        <w:pStyle w:val="ListParagraph"/>
        <w:numPr>
          <w:ilvl w:val="0"/>
          <w:numId w:val="27"/>
        </w:numPr>
      </w:pPr>
      <w:r>
        <w:t>It requires less work in RAN2. Specifically, only one bit in the system information broadcasted by the network is needed to bar aerial UEs from accessing the affected cells.</w:t>
      </w:r>
    </w:p>
    <w:p w14:paraId="72EB71EE" w14:textId="5FEF4F0D" w:rsidR="00AC0370" w:rsidRDefault="00AC0370" w:rsidP="00AC0370">
      <w:r>
        <w:t>Given these advantages, we propose to focus on the cell-level mechanism in the Rel-18 UAV WI.</w:t>
      </w:r>
    </w:p>
    <w:p w14:paraId="4D7EB9B0" w14:textId="4E535E4E" w:rsidR="00AC0370" w:rsidRPr="00045B3A" w:rsidRDefault="00AC0370" w:rsidP="00AC0370">
      <w:pPr>
        <w:pStyle w:val="Proposal"/>
        <w:numPr>
          <w:ilvl w:val="0"/>
          <w:numId w:val="3"/>
        </w:numPr>
        <w:tabs>
          <w:tab w:val="clear" w:pos="5556"/>
          <w:tab w:val="num" w:pos="1872"/>
        </w:tabs>
        <w:ind w:left="1701" w:hanging="1701"/>
        <w:rPr>
          <w:rFonts w:eastAsia="Times New Roman"/>
          <w:lang w:val="en-GB"/>
        </w:rPr>
      </w:pPr>
      <w:bookmarkStart w:id="15" w:name="_Toc136871183"/>
      <w:bookmarkStart w:id="16" w:name="_Toc142587548"/>
      <w:r>
        <w:rPr>
          <w:rFonts w:eastAsia="Times New Roman"/>
          <w:lang w:val="en-GB"/>
        </w:rPr>
        <w:t>RAN2 to specify signalling that allows NTZ-affected cells to bar aerial UEs</w:t>
      </w:r>
      <w:r w:rsidRPr="00045B3A">
        <w:rPr>
          <w:rFonts w:eastAsia="Times New Roman"/>
          <w:lang w:val="en-GB"/>
        </w:rPr>
        <w:t>.</w:t>
      </w:r>
      <w:bookmarkEnd w:id="15"/>
      <w:r w:rsidR="004F04B9">
        <w:rPr>
          <w:rFonts w:eastAsia="Times New Roman"/>
          <w:lang w:val="en-GB"/>
        </w:rPr>
        <w:t xml:space="preserve"> FFS UE </w:t>
      </w:r>
      <w:proofErr w:type="spellStart"/>
      <w:r w:rsidR="004F04B9">
        <w:rPr>
          <w:rFonts w:eastAsia="Times New Roman"/>
          <w:lang w:val="en-GB"/>
        </w:rPr>
        <w:t>signaling</w:t>
      </w:r>
      <w:bookmarkEnd w:id="16"/>
      <w:proofErr w:type="spellEnd"/>
    </w:p>
    <w:p w14:paraId="3C70F978" w14:textId="66D713A8" w:rsidR="001B0F8E" w:rsidRDefault="00D66901">
      <w:pPr>
        <w:pStyle w:val="Proposal"/>
        <w:rPr>
          <w:rFonts w:eastAsia="Times New Roman"/>
          <w:lang w:val="en-GB"/>
        </w:rPr>
      </w:pPr>
      <w:bookmarkStart w:id="17" w:name="_Toc123739184"/>
      <w:bookmarkStart w:id="18" w:name="_Toc134525451"/>
      <w:bookmarkStart w:id="19" w:name="OLE_LINK5"/>
      <w:commentRangeStart w:id="20"/>
      <w:commentRangeStart w:id="21"/>
      <w:commentRangeStart w:id="22"/>
      <w:commentRangeStart w:id="23"/>
      <w:commentRangeStart w:id="24"/>
      <w:r>
        <w:rPr>
          <w:rFonts w:eastAsia="Times New Roman"/>
          <w:lang w:val="en-GB"/>
        </w:rPr>
        <w:t xml:space="preserve"> </w:t>
      </w:r>
    </w:p>
    <w:p w14:paraId="2079B147" w14:textId="7208FC29" w:rsidR="00045B3A" w:rsidRDefault="00D66901" w:rsidP="001B0F8E">
      <w:pPr>
        <w:pStyle w:val="Proposal"/>
        <w:rPr>
          <w:rFonts w:eastAsia="Times New Roman"/>
          <w:lang w:val="en-GB"/>
        </w:rPr>
      </w:pPr>
      <w:r>
        <w:rPr>
          <w:rFonts w:eastAsia="Times New Roman"/>
          <w:lang w:val="en-GB"/>
        </w:rPr>
        <w:t xml:space="preserve">    </w:t>
      </w:r>
      <w:bookmarkEnd w:id="17"/>
      <w:bookmarkEnd w:id="18"/>
      <w:commentRangeEnd w:id="20"/>
      <w:r>
        <w:rPr>
          <w:rFonts w:eastAsia="Times New Roman"/>
          <w:lang w:val="en-GB"/>
        </w:rPr>
        <w:t xml:space="preserve"> </w:t>
      </w:r>
      <w:bookmarkStart w:id="25" w:name="_Toc142398034"/>
      <w:bookmarkStart w:id="26" w:name="_Toc142587549"/>
      <w:r w:rsidR="001570A4">
        <w:rPr>
          <w:rStyle w:val="CommentReference"/>
          <w:b w:val="0"/>
          <w:bCs w:val="0"/>
        </w:rPr>
        <w:commentReference w:id="20"/>
      </w:r>
      <w:commentRangeEnd w:id="21"/>
      <w:r w:rsidR="00FA56B4">
        <w:rPr>
          <w:rStyle w:val="CommentReference"/>
          <w:b w:val="0"/>
          <w:bCs w:val="0"/>
        </w:rPr>
        <w:commentReference w:id="21"/>
      </w:r>
      <w:commentRangeEnd w:id="22"/>
      <w:r w:rsidR="006B746F">
        <w:rPr>
          <w:rStyle w:val="CommentReference"/>
          <w:b w:val="0"/>
          <w:bCs w:val="0"/>
        </w:rPr>
        <w:commentReference w:id="22"/>
      </w:r>
      <w:commentRangeEnd w:id="23"/>
      <w:r w:rsidR="00830C08">
        <w:rPr>
          <w:rStyle w:val="CommentReference"/>
          <w:b w:val="0"/>
          <w:bCs w:val="0"/>
        </w:rPr>
        <w:commentReference w:id="23"/>
      </w:r>
      <w:bookmarkEnd w:id="25"/>
      <w:commentRangeEnd w:id="24"/>
      <w:r w:rsidR="004F04B9">
        <w:rPr>
          <w:rStyle w:val="CommentReference"/>
          <w:b w:val="0"/>
          <w:bCs w:val="0"/>
        </w:rPr>
        <w:commentReference w:id="24"/>
      </w:r>
      <w:bookmarkEnd w:id="26"/>
      <w:r>
        <w:rPr>
          <w:rFonts w:eastAsia="Times New Roman"/>
          <w:lang w:val="en-GB"/>
        </w:rPr>
        <w:t xml:space="preserve">  </w:t>
      </w:r>
    </w:p>
    <w:p w14:paraId="17ECC6C1" w14:textId="77777777" w:rsidR="001B0F8E" w:rsidRPr="00782F71" w:rsidRDefault="001B0F8E" w:rsidP="001B0F8E">
      <w:pPr>
        <w:pStyle w:val="Heading1"/>
        <w:rPr>
          <w:rStyle w:val="Emphasis"/>
          <w:i w:val="0"/>
          <w:lang w:val="en-US"/>
        </w:rPr>
      </w:pPr>
      <w:r>
        <w:rPr>
          <w:rStyle w:val="Emphasis"/>
          <w:i w:val="0"/>
          <w:lang w:val="en-US"/>
        </w:rPr>
        <w:t>Event combinations</w:t>
      </w:r>
    </w:p>
    <w:p w14:paraId="7191A557" w14:textId="77777777" w:rsidR="001B0F8E" w:rsidRDefault="001B0F8E" w:rsidP="001B0F8E">
      <w:pPr>
        <w:rPr>
          <w:lang w:val="en-GB"/>
        </w:rPr>
      </w:pPr>
      <w:r>
        <w:rPr>
          <w:lang w:val="en-GB"/>
        </w:rPr>
        <w:t>RAN2 agreed in RAN2#121 the following:</w:t>
      </w:r>
    </w:p>
    <w:p w14:paraId="7B80E287" w14:textId="77777777" w:rsidR="001B0F8E" w:rsidRPr="00DC680A" w:rsidRDefault="001B0F8E" w:rsidP="001B0F8E">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1A7F52DA" w14:textId="77777777" w:rsidR="001B0F8E" w:rsidRDefault="001B0F8E" w:rsidP="001B0F8E">
      <w:pPr>
        <w:rPr>
          <w:lang w:val="en-GB"/>
        </w:rPr>
      </w:pPr>
    </w:p>
    <w:p w14:paraId="219A27C6" w14:textId="77777777" w:rsidR="001B0F8E" w:rsidRDefault="001B0F8E" w:rsidP="001B0F8E">
      <w:pPr>
        <w:rPr>
          <w:lang w:val="en-GB"/>
        </w:rPr>
      </w:pPr>
      <w:r>
        <w:rPr>
          <w:lang w:val="en-GB"/>
        </w:rPr>
        <w:t>However, in RAN2#122 the following conflicting agreement is made which seems to be a mixture of combination of events and for height dependent parameters. This is rather confusing as these are(where) two distinct discussions.</w:t>
      </w:r>
    </w:p>
    <w:p w14:paraId="31F4A1B6" w14:textId="77777777" w:rsidR="001B0F8E" w:rsidRDefault="001B0F8E" w:rsidP="001B0F8E">
      <w:pPr>
        <w:rPr>
          <w:lang w:val="en-GB"/>
        </w:rPr>
      </w:pPr>
    </w:p>
    <w:p w14:paraId="10EC813C" w14:textId="77777777" w:rsidR="001B0F8E" w:rsidRPr="00FF2815" w:rsidRDefault="001B0F8E" w:rsidP="004F04B9">
      <w:pPr>
        <w:pStyle w:val="Doc-text2"/>
        <w:numPr>
          <w:ilvl w:val="0"/>
          <w:numId w:val="24"/>
        </w:numPr>
        <w:pBdr>
          <w:top w:val="single" w:sz="4" w:space="1" w:color="auto"/>
          <w:left w:val="single" w:sz="4" w:space="31" w:color="auto"/>
          <w:bottom w:val="single" w:sz="4" w:space="1" w:color="auto"/>
          <w:right w:val="single" w:sz="4" w:space="4" w:color="auto"/>
        </w:pBdr>
      </w:pPr>
      <w:r>
        <w:rPr>
          <w:szCs w:val="28"/>
        </w:rPr>
        <w:t>N</w:t>
      </w:r>
      <w:r w:rsidRPr="000E2706">
        <w:rPr>
          <w:szCs w:val="28"/>
        </w:rPr>
        <w:t>ew event types</w:t>
      </w:r>
      <w:r>
        <w:rPr>
          <w:szCs w:val="28"/>
        </w:rPr>
        <w:t xml:space="preserve"> will be introduced</w:t>
      </w:r>
      <w:r w:rsidRPr="000E2706">
        <w:rPr>
          <w:szCs w:val="28"/>
        </w:rPr>
        <w:t xml:space="preserve"> on the combination of event A</w:t>
      </w:r>
      <w:r>
        <w:rPr>
          <w:szCs w:val="28"/>
        </w:rPr>
        <w:t>x</w:t>
      </w:r>
      <w:r w:rsidRPr="000E2706">
        <w:rPr>
          <w:szCs w:val="28"/>
        </w:rPr>
        <w:t xml:space="preserve"> and event </w:t>
      </w:r>
      <w:proofErr w:type="spellStart"/>
      <w:r w:rsidRPr="000E2706">
        <w:rPr>
          <w:szCs w:val="28"/>
        </w:rPr>
        <w:t>H</w:t>
      </w:r>
      <w:r>
        <w:rPr>
          <w:szCs w:val="28"/>
        </w:rPr>
        <w:t>x</w:t>
      </w:r>
      <w:proofErr w:type="spellEnd"/>
      <w:r w:rsidRPr="000E2706">
        <w:rPr>
          <w:szCs w:val="28"/>
        </w:rP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rsidRPr="000E2706">
        <w:rPr>
          <w:szCs w:val="28"/>
        </w:rPr>
        <w:t>numberOfTriggeringCells</w:t>
      </w:r>
      <w:proofErr w:type="spellEnd"/>
      <w:r w:rsidRPr="000E2706">
        <w:rPr>
          <w:szCs w:val="28"/>
        </w:rPr>
        <w:t>, etc.</w:t>
      </w:r>
      <w:r>
        <w:rPr>
          <w:szCs w:val="28"/>
        </w:rPr>
        <w:t xml:space="preserve">    This will be applied to all height dependent MR parameters.  </w:t>
      </w:r>
    </w:p>
    <w:p w14:paraId="5C26A486" w14:textId="77777777" w:rsidR="001B0F8E" w:rsidRDefault="001B0F8E" w:rsidP="001B0F8E">
      <w:pPr>
        <w:rPr>
          <w:lang w:val="en-GB"/>
        </w:rPr>
      </w:pPr>
    </w:p>
    <w:p w14:paraId="51829EB1" w14:textId="77777777" w:rsidR="001B0F8E" w:rsidRDefault="001B0F8E" w:rsidP="001B0F8E">
      <w:pPr>
        <w:rPr>
          <w:lang w:val="en-GB"/>
        </w:rPr>
      </w:pPr>
    </w:p>
    <w:p w14:paraId="1B0EC95D" w14:textId="77777777" w:rsidR="001B0F8E" w:rsidRDefault="001B0F8E" w:rsidP="001B0F8E">
      <w:pPr>
        <w:rPr>
          <w:lang w:val="en-GB"/>
        </w:rPr>
      </w:pPr>
      <w:r>
        <w:rPr>
          <w:lang w:val="en-GB"/>
        </w:rPr>
        <w:lastRenderedPageBreak/>
        <w:t xml:space="preserve">If RAN2 goes with the latter agreement, there is a need to define new events for each combination H1/H2 with </w:t>
      </w:r>
      <w:proofErr w:type="spellStart"/>
      <w:r>
        <w:rPr>
          <w:lang w:val="en-GB"/>
        </w:rPr>
        <w:t>Ax</w:t>
      </w:r>
      <w:proofErr w:type="spellEnd"/>
      <w:r>
        <w:rPr>
          <w:lang w:val="en-GB"/>
        </w:rPr>
        <w:t>. This seems excessive specification effort as with the reusing existing event, the specification effort looks more or less as follows:</w:t>
      </w:r>
    </w:p>
    <w:p w14:paraId="214FBF31" w14:textId="77777777" w:rsidR="001B0F8E" w:rsidRPr="00467506" w:rsidRDefault="001B0F8E" w:rsidP="001B0F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eastAsia="en-US"/>
        </w:rPr>
      </w:pPr>
      <w:r w:rsidRPr="00467506">
        <w:rPr>
          <w:spacing w:val="2"/>
          <w:lang w:eastAsia="en-US"/>
        </w:rPr>
        <w:t xml:space="preserve">To specify this, one option is to define a new list of </w:t>
      </w:r>
      <w:proofErr w:type="spellStart"/>
      <w:r w:rsidRPr="00467506">
        <w:rPr>
          <w:spacing w:val="2"/>
          <w:lang w:eastAsia="en-US"/>
        </w:rPr>
        <w:t>measId</w:t>
      </w:r>
      <w:proofErr w:type="spellEnd"/>
      <w:r w:rsidRPr="00467506">
        <w:rPr>
          <w:spacing w:val="2"/>
          <w:lang w:eastAsia="en-US"/>
        </w:rPr>
        <w:t xml:space="preserve">(s) in </w:t>
      </w:r>
      <w:proofErr w:type="spellStart"/>
      <w:r w:rsidRPr="00467506">
        <w:rPr>
          <w:spacing w:val="2"/>
          <w:lang w:eastAsia="en-US"/>
        </w:rPr>
        <w:t>MeasConfig</w:t>
      </w:r>
      <w:proofErr w:type="spellEnd"/>
      <w:r w:rsidRPr="00467506">
        <w:rPr>
          <w:spacing w:val="2"/>
          <w:lang w:eastAsia="en-US"/>
        </w:rPr>
        <w:t xml:space="preserve"> named for example as </w:t>
      </w:r>
      <w:proofErr w:type="spellStart"/>
      <w:r w:rsidRPr="00467506">
        <w:rPr>
          <w:spacing w:val="2"/>
          <w:highlight w:val="yellow"/>
          <w:lang w:eastAsia="en-US"/>
        </w:rPr>
        <w:t>measIdSimultaneusTriggeringToAddModList</w:t>
      </w:r>
      <w:proofErr w:type="spellEnd"/>
    </w:p>
    <w:p w14:paraId="0B667C71" w14:textId="77777777" w:rsidR="001B0F8E" w:rsidRPr="00467506" w:rsidRDefault="001B0F8E" w:rsidP="001B0F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eastAsia="en-US"/>
        </w:rPr>
      </w:pPr>
    </w:p>
    <w:p w14:paraId="75C0B305"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MeasConfig ::=                      </w:t>
      </w:r>
      <w:r w:rsidRPr="00467506">
        <w:rPr>
          <w:rFonts w:ascii="Courier New" w:eastAsia="Times New Roman" w:hAnsi="Courier New"/>
          <w:noProof/>
          <w:color w:val="993366"/>
          <w:sz w:val="16"/>
          <w:lang w:val="en-GB" w:eastAsia="en-GB"/>
        </w:rPr>
        <w:t>SEQUENCE</w:t>
      </w:r>
      <w:r w:rsidRPr="00467506">
        <w:rPr>
          <w:rFonts w:ascii="Courier New" w:eastAsia="Times New Roman" w:hAnsi="Courier New"/>
          <w:noProof/>
          <w:sz w:val="16"/>
          <w:lang w:val="en-GB" w:eastAsia="en-GB"/>
        </w:rPr>
        <w:t xml:space="preserve"> {</w:t>
      </w:r>
    </w:p>
    <w:p w14:paraId="7CA0BAF4"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measObjectToRemoveList              MeasObjectToRemoveList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3D311176"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measObjectToAddModList              MeasObjectToAddModList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1E77A839"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reportConfigToRemoveList            ReportConfigToRemoveList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6F7D49B4"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reportConfigToAddModList            ReportConfigToAddModList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348164AB"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measIdToRemoveList                  MeasIdToRemoveList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62FFCBB6"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measIdToAddModList                  MeasIdToAddModList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N</w:t>
      </w:r>
    </w:p>
    <w:p w14:paraId="0A36EBEC"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s-MeasureConfig                     </w:t>
      </w:r>
      <w:r w:rsidRPr="00467506">
        <w:rPr>
          <w:rFonts w:ascii="Courier New" w:eastAsia="Times New Roman" w:hAnsi="Courier New"/>
          <w:noProof/>
          <w:color w:val="993366"/>
          <w:sz w:val="16"/>
          <w:lang w:val="en-GB" w:eastAsia="en-GB"/>
        </w:rPr>
        <w:t>CHOICE</w:t>
      </w:r>
      <w:r w:rsidRPr="00467506">
        <w:rPr>
          <w:rFonts w:ascii="Courier New" w:eastAsia="Times New Roman" w:hAnsi="Courier New"/>
          <w:noProof/>
          <w:sz w:val="16"/>
          <w:lang w:val="en-GB" w:eastAsia="en-GB"/>
        </w:rPr>
        <w:t xml:space="preserve"> {</w:t>
      </w:r>
    </w:p>
    <w:p w14:paraId="7805784D"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ssb-RSRP                            RSRP-Range,</w:t>
      </w:r>
    </w:p>
    <w:p w14:paraId="04E50B53"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csi-RSRP                            RSRP-Range</w:t>
      </w:r>
    </w:p>
    <w:p w14:paraId="61F0319D"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M</w:t>
      </w:r>
    </w:p>
    <w:p w14:paraId="56AC324B"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quantityConfig                      QuantityConfig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M</w:t>
      </w:r>
    </w:p>
    <w:p w14:paraId="2712546B"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measGapConfig                       MeasGapConfig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M</w:t>
      </w:r>
    </w:p>
    <w:p w14:paraId="053D594D"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measGapSharingConfig                MeasGapSharingConfig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M</w:t>
      </w:r>
    </w:p>
    <w:p w14:paraId="1D979CF1"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w:t>
      </w:r>
    </w:p>
    <w:p w14:paraId="5C6C8558"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w:t>
      </w:r>
    </w:p>
    <w:p w14:paraId="4A4458DC"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467506">
        <w:rPr>
          <w:rFonts w:ascii="Courier New" w:eastAsia="Times New Roman" w:hAnsi="Courier New"/>
          <w:noProof/>
          <w:sz w:val="16"/>
          <w:lang w:val="en-GB" w:eastAsia="en-GB"/>
        </w:rPr>
        <w:t xml:space="preserve">    interFrequencyConfig-NoGap-r16      </w:t>
      </w:r>
      <w:r w:rsidRPr="00467506">
        <w:rPr>
          <w:rFonts w:ascii="Courier New" w:eastAsia="Times New Roman" w:hAnsi="Courier New"/>
          <w:noProof/>
          <w:color w:val="993366"/>
          <w:sz w:val="16"/>
          <w:lang w:val="en-GB" w:eastAsia="en-GB"/>
        </w:rPr>
        <w:t>ENUMERATED</w:t>
      </w:r>
      <w:r w:rsidRPr="00467506">
        <w:rPr>
          <w:rFonts w:ascii="Courier New" w:eastAsia="Times New Roman" w:hAnsi="Courier New"/>
          <w:noProof/>
          <w:sz w:val="16"/>
          <w:lang w:val="en-GB" w:eastAsia="en-GB"/>
        </w:rPr>
        <w:t xml:space="preserve"> {true}                                                   </w:t>
      </w:r>
      <w:r w:rsidRPr="00467506">
        <w:rPr>
          <w:rFonts w:ascii="Courier New" w:eastAsia="Times New Roman" w:hAnsi="Courier New"/>
          <w:noProof/>
          <w:color w:val="993366"/>
          <w:sz w:val="16"/>
          <w:lang w:val="en-GB" w:eastAsia="en-GB"/>
        </w:rPr>
        <w:t>OPTIONAL</w:t>
      </w: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color w:val="808080"/>
          <w:sz w:val="16"/>
          <w:lang w:val="en-GB" w:eastAsia="en-GB"/>
        </w:rPr>
        <w:t>-- Need R</w:t>
      </w:r>
    </w:p>
    <w:p w14:paraId="3B11CC3C"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 xml:space="preserve">    ]],</w:t>
      </w:r>
    </w:p>
    <w:p w14:paraId="34D4EB3F"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highlight w:val="yellow"/>
          <w:lang w:val="en-GB" w:eastAsia="en-GB"/>
        </w:rPr>
      </w:pPr>
      <w:r w:rsidRPr="00467506">
        <w:rPr>
          <w:rFonts w:ascii="Courier New" w:eastAsia="Times New Roman" w:hAnsi="Courier New"/>
          <w:noProof/>
          <w:sz w:val="16"/>
          <w:lang w:val="en-GB" w:eastAsia="en-GB"/>
        </w:rPr>
        <w:t xml:space="preserve">    </w:t>
      </w:r>
      <w:r w:rsidRPr="00467506">
        <w:rPr>
          <w:rFonts w:ascii="Courier New" w:eastAsia="Times New Roman" w:hAnsi="Courier New"/>
          <w:noProof/>
          <w:sz w:val="16"/>
          <w:highlight w:val="yellow"/>
          <w:lang w:val="en-GB" w:eastAsia="en-GB"/>
        </w:rPr>
        <w:t xml:space="preserve">measIdSimultaneusTriggeringToRemoveList                  MeasIdToRemoveList                                                  </w:t>
      </w:r>
      <w:r w:rsidRPr="00467506">
        <w:rPr>
          <w:rFonts w:ascii="Courier New" w:eastAsia="Times New Roman" w:hAnsi="Courier New"/>
          <w:noProof/>
          <w:color w:val="993366"/>
          <w:sz w:val="16"/>
          <w:highlight w:val="yellow"/>
          <w:lang w:val="en-GB" w:eastAsia="en-GB"/>
        </w:rPr>
        <w:t>OPTIONAL</w:t>
      </w:r>
      <w:r w:rsidRPr="00467506">
        <w:rPr>
          <w:rFonts w:ascii="Courier New" w:eastAsia="Times New Roman" w:hAnsi="Courier New"/>
          <w:noProof/>
          <w:sz w:val="16"/>
          <w:highlight w:val="yellow"/>
          <w:lang w:val="en-GB" w:eastAsia="en-GB"/>
        </w:rPr>
        <w:t xml:space="preserve">,   </w:t>
      </w:r>
      <w:r w:rsidRPr="00467506">
        <w:rPr>
          <w:rFonts w:ascii="Courier New" w:eastAsia="Times New Roman" w:hAnsi="Courier New"/>
          <w:noProof/>
          <w:color w:val="808080"/>
          <w:sz w:val="16"/>
          <w:highlight w:val="yellow"/>
          <w:lang w:val="en-GB" w:eastAsia="en-GB"/>
        </w:rPr>
        <w:t>-- Need N</w:t>
      </w:r>
    </w:p>
    <w:p w14:paraId="6751945E"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highlight w:val="yellow"/>
          <w:lang w:val="en-GB" w:eastAsia="en-GB"/>
        </w:rPr>
        <w:t xml:space="preserve">    measIdSimultaneusTriggeringToAddModList                  MeasIdToAddModList</w:t>
      </w:r>
      <w:r w:rsidRPr="00467506">
        <w:rPr>
          <w:rFonts w:ascii="Courier New" w:eastAsia="Times New Roman" w:hAnsi="Courier New"/>
          <w:noProof/>
          <w:sz w:val="16"/>
          <w:lang w:val="en-GB" w:eastAsia="en-GB"/>
        </w:rPr>
        <w:t xml:space="preserve">                                                  </w:t>
      </w:r>
    </w:p>
    <w:p w14:paraId="3FB5DB1A" w14:textId="77777777" w:rsidR="001B0F8E" w:rsidRPr="00467506" w:rsidRDefault="001B0F8E" w:rsidP="001B0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467506">
        <w:rPr>
          <w:rFonts w:ascii="Courier New" w:eastAsia="Times New Roman" w:hAnsi="Courier New"/>
          <w:noProof/>
          <w:sz w:val="16"/>
          <w:lang w:val="en-GB" w:eastAsia="en-GB"/>
        </w:rPr>
        <w:t>}</w:t>
      </w:r>
    </w:p>
    <w:p w14:paraId="3EA33F13" w14:textId="77777777" w:rsidR="001B0F8E" w:rsidRPr="00467506" w:rsidRDefault="001B0F8E" w:rsidP="001B0F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eastAsia="en-US"/>
        </w:rPr>
      </w:pPr>
    </w:p>
    <w:p w14:paraId="17B79273" w14:textId="77777777" w:rsidR="001B0F8E" w:rsidRPr="00467506" w:rsidRDefault="001B0F8E" w:rsidP="001B0F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eastAsia="en-US"/>
        </w:rPr>
      </w:pPr>
      <w:r w:rsidRPr="00467506">
        <w:rPr>
          <w:spacing w:val="2"/>
          <w:lang w:eastAsia="en-US"/>
        </w:rPr>
        <w:t xml:space="preserve">Then, specify in 5.5.4 a procedural text that requires all events associated to the listed </w:t>
      </w:r>
      <w:proofErr w:type="spellStart"/>
      <w:r w:rsidRPr="00467506">
        <w:rPr>
          <w:spacing w:val="2"/>
          <w:lang w:eastAsia="en-US"/>
        </w:rPr>
        <w:t>measIDs</w:t>
      </w:r>
      <w:proofErr w:type="spellEnd"/>
      <w:r w:rsidRPr="00467506">
        <w:rPr>
          <w:spacing w:val="2"/>
          <w:lang w:eastAsia="en-US"/>
        </w:rPr>
        <w:t xml:space="preserve"> to be fulfilled prior to reporting</w:t>
      </w:r>
      <w:r>
        <w:rPr>
          <w:spacing w:val="2"/>
          <w:lang w:eastAsia="en-US"/>
        </w:rPr>
        <w:t>:</w:t>
      </w:r>
    </w:p>
    <w:p w14:paraId="7879F162" w14:textId="77777777" w:rsidR="001B0F8E" w:rsidRPr="00467506" w:rsidRDefault="001B0F8E" w:rsidP="001B0F8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eastAsia="en-US"/>
        </w:rPr>
      </w:pPr>
      <w:r w:rsidRPr="00467506">
        <w:rPr>
          <w:spacing w:val="2"/>
          <w:lang w:eastAsia="en-US"/>
        </w:rPr>
        <w:t xml:space="preserve"> </w:t>
      </w:r>
    </w:p>
    <w:p w14:paraId="792E31DC" w14:textId="77777777" w:rsidR="001B0F8E" w:rsidRPr="00467506" w:rsidRDefault="001B0F8E" w:rsidP="001B0F8E">
      <w:pPr>
        <w:spacing w:after="180"/>
        <w:ind w:left="851" w:hanging="284"/>
        <w:jc w:val="left"/>
        <w:rPr>
          <w:rFonts w:ascii="Times New Roman" w:eastAsia="Times New Roman" w:hAnsi="Times New Roman"/>
          <w:highlight w:val="yellow"/>
          <w:lang w:val="en-GB" w:eastAsia="ja-JP"/>
        </w:rPr>
      </w:pPr>
      <w:r w:rsidRPr="00467506">
        <w:rPr>
          <w:rFonts w:ascii="Times New Roman" w:eastAsia="Times New Roman" w:hAnsi="Times New Roman"/>
          <w:highlight w:val="yellow"/>
          <w:lang w:val="en-GB" w:eastAsia="ja-JP"/>
        </w:rPr>
        <w:t>2&gt;</w:t>
      </w:r>
      <w:r w:rsidRPr="00467506">
        <w:rPr>
          <w:rFonts w:ascii="Times New Roman" w:eastAsia="Times New Roman" w:hAnsi="Times New Roman"/>
          <w:highlight w:val="yellow"/>
          <w:lang w:val="en-GB" w:eastAsia="ja-JP"/>
        </w:rPr>
        <w:tab/>
        <w:t xml:space="preserve">if </w:t>
      </w:r>
      <w:r w:rsidRPr="00467506">
        <w:rPr>
          <w:rFonts w:ascii="Times New Roman" w:hAnsi="Times New Roman"/>
          <w:highlight w:val="yellow"/>
          <w:lang w:val="en-GB" w:eastAsia="ja-JP"/>
        </w:rPr>
        <w:t xml:space="preserve">event(s) associated to all </w:t>
      </w:r>
      <w:proofErr w:type="spellStart"/>
      <w:r w:rsidRPr="00467506">
        <w:rPr>
          <w:rFonts w:ascii="Times New Roman" w:hAnsi="Times New Roman"/>
          <w:i/>
          <w:highlight w:val="yellow"/>
          <w:lang w:val="en-GB" w:eastAsia="ja-JP"/>
        </w:rPr>
        <w:t>measId</w:t>
      </w:r>
      <w:proofErr w:type="spellEnd"/>
      <w:r w:rsidRPr="00467506">
        <w:rPr>
          <w:rFonts w:ascii="Times New Roman" w:hAnsi="Times New Roman"/>
          <w:highlight w:val="yellow"/>
          <w:lang w:val="en-GB" w:eastAsia="ja-JP"/>
        </w:rPr>
        <w:t xml:space="preserve">(s) within cell within </w:t>
      </w:r>
      <w:proofErr w:type="spellStart"/>
      <w:r w:rsidRPr="00467506">
        <w:rPr>
          <w:rFonts w:ascii="Times New Roman" w:eastAsia="Times New Roman" w:hAnsi="Times New Roman"/>
          <w:highlight w:val="yellow"/>
          <w:lang w:val="en-GB" w:eastAsia="ja-JP"/>
        </w:rPr>
        <w:t>measIdSimultaneusTriggeringToAddModList</w:t>
      </w:r>
      <w:proofErr w:type="spellEnd"/>
      <w:r w:rsidRPr="00467506">
        <w:rPr>
          <w:rFonts w:ascii="Times New Roman" w:hAnsi="Times New Roman"/>
          <w:highlight w:val="yellow"/>
          <w:lang w:val="en-GB" w:eastAsia="ja-JP"/>
        </w:rPr>
        <w:t xml:space="preserve"> the stored </w:t>
      </w:r>
      <w:proofErr w:type="spellStart"/>
      <w:r w:rsidRPr="00467506">
        <w:rPr>
          <w:rFonts w:ascii="Times New Roman" w:hAnsi="Times New Roman"/>
          <w:i/>
          <w:highlight w:val="yellow"/>
          <w:lang w:val="en-GB" w:eastAsia="ja-JP"/>
        </w:rPr>
        <w:t>condRRCReconfig</w:t>
      </w:r>
      <w:proofErr w:type="spellEnd"/>
      <w:r w:rsidRPr="00467506">
        <w:rPr>
          <w:rFonts w:ascii="Times New Roman" w:hAnsi="Times New Roman"/>
          <w:highlight w:val="yellow"/>
          <w:lang w:val="en-GB" w:eastAsia="ja-JP"/>
        </w:rPr>
        <w:t xml:space="preserve"> are fulfilled:</w:t>
      </w:r>
    </w:p>
    <w:p w14:paraId="7C3BCF76" w14:textId="77777777" w:rsidR="001B0F8E" w:rsidRPr="00467506" w:rsidRDefault="001B0F8E" w:rsidP="001B0F8E">
      <w:pPr>
        <w:spacing w:after="180"/>
        <w:ind w:left="1135" w:hanging="284"/>
        <w:jc w:val="left"/>
        <w:rPr>
          <w:rFonts w:ascii="Times New Roman" w:eastAsia="Times New Roman" w:hAnsi="Times New Roman"/>
          <w:highlight w:val="yellow"/>
          <w:lang w:val="en-GB" w:eastAsia="ja-JP"/>
        </w:rPr>
      </w:pPr>
      <w:r w:rsidRPr="00467506">
        <w:rPr>
          <w:rFonts w:ascii="Times New Roman" w:eastAsia="Times New Roman" w:hAnsi="Times New Roman"/>
          <w:highlight w:val="yellow"/>
          <w:lang w:val="en-GB" w:eastAsia="ja-JP"/>
        </w:rPr>
        <w:t>3&gt;</w:t>
      </w:r>
      <w:r w:rsidRPr="00467506">
        <w:rPr>
          <w:rFonts w:ascii="Times New Roman" w:eastAsia="Times New Roman" w:hAnsi="Times New Roman"/>
          <w:highlight w:val="yellow"/>
          <w:lang w:val="en-GB" w:eastAsia="ja-JP"/>
        </w:rPr>
        <w:tab/>
        <w:t xml:space="preserve">include a measurement reporting entry within the </w:t>
      </w:r>
      <w:proofErr w:type="spellStart"/>
      <w:r w:rsidRPr="00467506">
        <w:rPr>
          <w:rFonts w:ascii="Times New Roman" w:eastAsia="Times New Roman" w:hAnsi="Times New Roman"/>
          <w:i/>
          <w:highlight w:val="yellow"/>
          <w:lang w:val="en-GB" w:eastAsia="ja-JP"/>
        </w:rPr>
        <w:t>VarMeasReportList</w:t>
      </w:r>
      <w:proofErr w:type="spellEnd"/>
      <w:r w:rsidRPr="00467506">
        <w:rPr>
          <w:rFonts w:ascii="Times New Roman" w:eastAsia="Times New Roman" w:hAnsi="Times New Roman"/>
          <w:highlight w:val="yellow"/>
          <w:lang w:val="en-GB" w:eastAsia="ja-JP"/>
        </w:rPr>
        <w:t xml:space="preserve"> for this </w:t>
      </w:r>
      <w:proofErr w:type="spellStart"/>
      <w:r w:rsidRPr="00467506">
        <w:rPr>
          <w:rFonts w:ascii="Times New Roman" w:eastAsia="Times New Roman" w:hAnsi="Times New Roman"/>
          <w:i/>
          <w:highlight w:val="yellow"/>
          <w:lang w:val="en-GB" w:eastAsia="ja-JP"/>
        </w:rPr>
        <w:t>measId</w:t>
      </w:r>
      <w:proofErr w:type="spellEnd"/>
      <w:r w:rsidRPr="00467506">
        <w:rPr>
          <w:rFonts w:ascii="Times New Roman" w:eastAsia="Times New Roman" w:hAnsi="Times New Roman"/>
          <w:highlight w:val="yellow"/>
          <w:lang w:val="en-GB" w:eastAsia="ja-JP"/>
        </w:rPr>
        <w:t>;</w:t>
      </w:r>
    </w:p>
    <w:p w14:paraId="1D92DC87" w14:textId="77777777" w:rsidR="001B0F8E" w:rsidRPr="00467506" w:rsidRDefault="001B0F8E" w:rsidP="001B0F8E">
      <w:pPr>
        <w:spacing w:after="180"/>
        <w:ind w:left="1135" w:hanging="284"/>
        <w:jc w:val="left"/>
        <w:rPr>
          <w:rFonts w:ascii="Times New Roman" w:eastAsia="Times New Roman" w:hAnsi="Times New Roman"/>
          <w:highlight w:val="yellow"/>
          <w:lang w:val="en-GB" w:eastAsia="ja-JP"/>
        </w:rPr>
      </w:pPr>
      <w:r w:rsidRPr="00467506">
        <w:rPr>
          <w:rFonts w:ascii="Times New Roman" w:eastAsia="Times New Roman" w:hAnsi="Times New Roman"/>
          <w:highlight w:val="yellow"/>
          <w:lang w:val="en-GB" w:eastAsia="ja-JP"/>
        </w:rPr>
        <w:t>3&gt;</w:t>
      </w:r>
      <w:r w:rsidRPr="00467506">
        <w:rPr>
          <w:rFonts w:ascii="Times New Roman" w:eastAsia="Times New Roman" w:hAnsi="Times New Roman"/>
          <w:highlight w:val="yellow"/>
          <w:lang w:val="en-GB" w:eastAsia="ja-JP"/>
        </w:rPr>
        <w:tab/>
        <w:t xml:space="preserve">set the </w:t>
      </w:r>
      <w:proofErr w:type="spellStart"/>
      <w:r w:rsidRPr="00467506">
        <w:rPr>
          <w:rFonts w:ascii="Times New Roman" w:eastAsia="Times New Roman" w:hAnsi="Times New Roman"/>
          <w:i/>
          <w:highlight w:val="yellow"/>
          <w:lang w:val="en-GB" w:eastAsia="ja-JP"/>
        </w:rPr>
        <w:t>numberOfReportsSent</w:t>
      </w:r>
      <w:proofErr w:type="spellEnd"/>
      <w:r w:rsidRPr="00467506">
        <w:rPr>
          <w:rFonts w:ascii="Times New Roman" w:eastAsia="Times New Roman" w:hAnsi="Times New Roman"/>
          <w:highlight w:val="yellow"/>
          <w:lang w:val="en-GB" w:eastAsia="ja-JP"/>
        </w:rPr>
        <w:t xml:space="preserve"> defined within the </w:t>
      </w:r>
      <w:proofErr w:type="spellStart"/>
      <w:r w:rsidRPr="00467506">
        <w:rPr>
          <w:rFonts w:ascii="Times New Roman" w:eastAsia="Times New Roman" w:hAnsi="Times New Roman"/>
          <w:i/>
          <w:highlight w:val="yellow"/>
          <w:lang w:val="en-GB" w:eastAsia="ja-JP"/>
        </w:rPr>
        <w:t>VarMeasReportList</w:t>
      </w:r>
      <w:proofErr w:type="spellEnd"/>
      <w:r w:rsidRPr="00467506">
        <w:rPr>
          <w:rFonts w:ascii="Times New Roman" w:eastAsia="Times New Roman" w:hAnsi="Times New Roman"/>
          <w:highlight w:val="yellow"/>
          <w:lang w:val="en-GB" w:eastAsia="ja-JP"/>
        </w:rPr>
        <w:t xml:space="preserve"> for this </w:t>
      </w:r>
      <w:proofErr w:type="spellStart"/>
      <w:r w:rsidRPr="00467506">
        <w:rPr>
          <w:rFonts w:ascii="Times New Roman" w:eastAsia="Times New Roman" w:hAnsi="Times New Roman"/>
          <w:i/>
          <w:highlight w:val="yellow"/>
          <w:lang w:val="en-GB" w:eastAsia="ja-JP"/>
        </w:rPr>
        <w:t>measId</w:t>
      </w:r>
      <w:proofErr w:type="spellEnd"/>
      <w:r w:rsidRPr="00467506">
        <w:rPr>
          <w:rFonts w:ascii="Times New Roman" w:eastAsia="Times New Roman" w:hAnsi="Times New Roman"/>
          <w:highlight w:val="yellow"/>
          <w:lang w:val="en-GB" w:eastAsia="ja-JP"/>
        </w:rPr>
        <w:t xml:space="preserve"> to 0;</w:t>
      </w:r>
    </w:p>
    <w:p w14:paraId="2622E7DC" w14:textId="77777777" w:rsidR="001B0F8E" w:rsidRPr="00467506" w:rsidRDefault="001B0F8E" w:rsidP="001B0F8E">
      <w:pPr>
        <w:spacing w:after="180"/>
        <w:ind w:left="1135" w:hanging="284"/>
        <w:jc w:val="left"/>
        <w:rPr>
          <w:rFonts w:ascii="Times New Roman" w:eastAsia="Times New Roman" w:hAnsi="Times New Roman"/>
          <w:lang w:val="en-GB" w:eastAsia="ja-JP"/>
        </w:rPr>
      </w:pPr>
      <w:r w:rsidRPr="00467506">
        <w:rPr>
          <w:rFonts w:ascii="Times New Roman" w:eastAsia="Times New Roman" w:hAnsi="Times New Roman"/>
          <w:highlight w:val="yellow"/>
          <w:lang w:val="en-GB" w:eastAsia="ja-JP"/>
        </w:rPr>
        <w:t>3&gt;</w:t>
      </w:r>
      <w:r w:rsidRPr="00467506">
        <w:rPr>
          <w:rFonts w:ascii="Times New Roman" w:eastAsia="Times New Roman" w:hAnsi="Times New Roman"/>
          <w:highlight w:val="yellow"/>
          <w:lang w:val="en-GB" w:eastAsia="ja-JP"/>
        </w:rPr>
        <w:tab/>
        <w:t>initiate the measurement reporting procedure, as specified in 5.5.5;</w:t>
      </w:r>
    </w:p>
    <w:p w14:paraId="24259AF8" w14:textId="6B30BD27" w:rsidR="001B0F8E" w:rsidRDefault="001B0F8E" w:rsidP="001B0F8E">
      <w:pPr>
        <w:rPr>
          <w:lang w:val="en-GB"/>
        </w:rPr>
      </w:pPr>
      <w:r>
        <w:rPr>
          <w:lang w:val="en-GB"/>
        </w:rPr>
        <w:t xml:space="preserve">The operation of these two options is similar. When there is combined event, there is one TTT and both conditions need to be fulfilled simultaneously for that TTT. For the combination of existing event the operation is similar, if UE fulfils the height, the TTT for that starts running. If UE bit later fulfils </w:t>
      </w:r>
      <w:proofErr w:type="spellStart"/>
      <w:r>
        <w:rPr>
          <w:lang w:val="en-GB"/>
        </w:rPr>
        <w:t>Ax</w:t>
      </w:r>
      <w:proofErr w:type="spellEnd"/>
      <w:r>
        <w:rPr>
          <w:lang w:val="en-GB"/>
        </w:rPr>
        <w:t xml:space="preserve"> event a TTT for that starts running as well. Now, if height event also stays in “entered state” the combined triggering triggers after TTT, exactly same as if new event combination is specified.</w:t>
      </w:r>
    </w:p>
    <w:p w14:paraId="51B6F0D6" w14:textId="77777777" w:rsidR="001B0F8E" w:rsidRDefault="001B0F8E" w:rsidP="001B0F8E">
      <w:pPr>
        <w:rPr>
          <w:lang w:val="en-GB"/>
        </w:rPr>
      </w:pPr>
    </w:p>
    <w:p w14:paraId="72422C4A" w14:textId="77777777" w:rsidR="001B0F8E" w:rsidRPr="001E6750" w:rsidRDefault="001B0F8E" w:rsidP="001B0F8E">
      <w:pPr>
        <w:rPr>
          <w:rFonts w:eastAsia="Times New Roman"/>
          <w:lang w:val="en-GB"/>
        </w:rPr>
      </w:pPr>
    </w:p>
    <w:p w14:paraId="6FA9F7F5" w14:textId="77777777" w:rsidR="001B0F8E" w:rsidRPr="00DC680A" w:rsidRDefault="001B0F8E" w:rsidP="001B0F8E">
      <w:pPr>
        <w:pStyle w:val="Observation"/>
        <w:ind w:left="1701" w:hanging="1701"/>
      </w:pPr>
      <w:bookmarkStart w:id="27" w:name="_Toc142587540"/>
      <w:r w:rsidRPr="001E6750">
        <w:t>W</w:t>
      </w:r>
      <w:r>
        <w:t>ith respect to triggering measurement result, that is for TTT, the operation of new event and combination of existing events is the same.</w:t>
      </w:r>
      <w:bookmarkEnd w:id="27"/>
    </w:p>
    <w:p w14:paraId="669A738E" w14:textId="77777777" w:rsidR="001B0F8E" w:rsidRDefault="001B0F8E" w:rsidP="001B0F8E">
      <w:pPr>
        <w:rPr>
          <w:lang w:val="en-GB"/>
        </w:rPr>
      </w:pPr>
      <w:bookmarkStart w:id="28" w:name="_Hlk140675639"/>
      <w:r>
        <w:rPr>
          <w:lang w:val="en-GB"/>
        </w:rPr>
        <w:t>The combination of existing events is already in use for CHO and has proven to work</w:t>
      </w:r>
      <w:bookmarkEnd w:id="28"/>
      <w:r>
        <w:rPr>
          <w:lang w:val="en-GB"/>
        </w:rPr>
        <w:t>.</w:t>
      </w:r>
    </w:p>
    <w:p w14:paraId="4E4FEAAC" w14:textId="77777777" w:rsidR="001B0F8E" w:rsidRDefault="001B0F8E" w:rsidP="001B0F8E">
      <w:pPr>
        <w:rPr>
          <w:lang w:val="en-GB"/>
        </w:rPr>
      </w:pPr>
    </w:p>
    <w:p w14:paraId="6AEAAB63" w14:textId="77777777" w:rsidR="001B0F8E" w:rsidRPr="001E6750" w:rsidRDefault="001B0F8E" w:rsidP="001B0F8E">
      <w:pPr>
        <w:rPr>
          <w:rFonts w:eastAsia="Times New Roman"/>
          <w:lang w:val="en-GB"/>
        </w:rPr>
      </w:pPr>
    </w:p>
    <w:p w14:paraId="47BDEC2D" w14:textId="77777777" w:rsidR="001B0F8E" w:rsidRPr="00DC680A" w:rsidRDefault="001B0F8E" w:rsidP="001B0F8E">
      <w:pPr>
        <w:pStyle w:val="Observation"/>
        <w:ind w:left="1701" w:hanging="1701"/>
      </w:pPr>
      <w:bookmarkStart w:id="29" w:name="_Toc142587541"/>
      <w:r w:rsidRPr="00900DB2">
        <w:t>The combination of existing events is already in use for CHO and has proven to work</w:t>
      </w:r>
      <w:r>
        <w:t>.</w:t>
      </w:r>
      <w:bookmarkEnd w:id="29"/>
    </w:p>
    <w:p w14:paraId="5C1A53E3" w14:textId="77777777" w:rsidR="001B0F8E" w:rsidRDefault="001B0F8E" w:rsidP="001B0F8E">
      <w:pPr>
        <w:rPr>
          <w:lang w:val="en-GB"/>
        </w:rPr>
      </w:pPr>
    </w:p>
    <w:p w14:paraId="791107A0" w14:textId="47D56B31" w:rsidR="001B0F8E" w:rsidRDefault="001B0F8E" w:rsidP="001B0F8E">
      <w:pPr>
        <w:rPr>
          <w:lang w:val="en-GB"/>
        </w:rPr>
      </w:pPr>
      <w:r>
        <w:rPr>
          <w:lang w:val="en-GB"/>
        </w:rPr>
        <w:t>For the option for defining new events, RAN2 needs to further discuss how to define the leaving condition. Is it when one of the conditions no longer is fulfilled or if both conditions are not fulfilled.</w:t>
      </w:r>
    </w:p>
    <w:p w14:paraId="1D5E6F00" w14:textId="77777777" w:rsidR="001B0F8E" w:rsidRPr="000F26D4" w:rsidRDefault="001B0F8E" w:rsidP="001B0F8E">
      <w:pPr>
        <w:rPr>
          <w:b/>
          <w:bCs/>
          <w:lang w:val="en-GB"/>
        </w:rPr>
      </w:pPr>
      <w:r>
        <w:rPr>
          <w:lang w:val="en-GB"/>
        </w:rPr>
        <w:t xml:space="preserve">For combining events, RAN2 should discuss how to handle </w:t>
      </w:r>
      <w:proofErr w:type="spellStart"/>
      <w:r>
        <w:rPr>
          <w:lang w:val="en-GB"/>
        </w:rPr>
        <w:t>reportOnleave</w:t>
      </w:r>
      <w:proofErr w:type="spellEnd"/>
      <w:r>
        <w:rPr>
          <w:lang w:val="en-GB"/>
        </w:rPr>
        <w:t xml:space="preserve"> for combined events. This can be handled by a field description addition which ensures network to provide consisting values. If event A3 and H1 is combined, then network configures both with same value on </w:t>
      </w:r>
      <w:proofErr w:type="spellStart"/>
      <w:r>
        <w:rPr>
          <w:lang w:val="en-GB"/>
        </w:rPr>
        <w:t>reportOnleave</w:t>
      </w:r>
      <w:proofErr w:type="spellEnd"/>
      <w:r>
        <w:rPr>
          <w:lang w:val="en-GB"/>
        </w:rPr>
        <w:t>. This can be added in the respective field description.</w:t>
      </w:r>
    </w:p>
    <w:p w14:paraId="4AD51FCD" w14:textId="617E118A" w:rsidR="001B0F8E" w:rsidRPr="00DC680A" w:rsidRDefault="001B0F8E" w:rsidP="001B0F8E">
      <w:pPr>
        <w:pStyle w:val="Proposal"/>
        <w:numPr>
          <w:ilvl w:val="0"/>
          <w:numId w:val="3"/>
        </w:numPr>
        <w:tabs>
          <w:tab w:val="clear" w:pos="5556"/>
        </w:tabs>
        <w:ind w:left="1701" w:hanging="1701"/>
        <w:rPr>
          <w:rFonts w:eastAsia="Times New Roman"/>
          <w:lang w:val="en-GB"/>
        </w:rPr>
      </w:pPr>
      <w:bookmarkStart w:id="30" w:name="_Toc134525459"/>
      <w:bookmarkStart w:id="31" w:name="_Toc142587550"/>
      <w:r>
        <w:rPr>
          <w:rFonts w:eastAsia="Times New Roman"/>
          <w:lang w:val="en-GB"/>
        </w:rPr>
        <w:t xml:space="preserve">The </w:t>
      </w:r>
      <w:proofErr w:type="spellStart"/>
      <w:r w:rsidRPr="00DC680A">
        <w:rPr>
          <w:rFonts w:eastAsia="Times New Roman"/>
          <w:lang w:val="en-GB"/>
        </w:rPr>
        <w:t>reportOnleave</w:t>
      </w:r>
      <w:proofErr w:type="spellEnd"/>
      <w:r w:rsidRPr="00DC680A">
        <w:rPr>
          <w:rFonts w:eastAsia="Times New Roman"/>
          <w:lang w:val="en-GB"/>
        </w:rPr>
        <w:t xml:space="preserve"> for combined events</w:t>
      </w:r>
      <w:r w:rsidRPr="003B66C2">
        <w:rPr>
          <w:rFonts w:eastAsia="Times New Roman"/>
          <w:lang w:val="en-GB"/>
        </w:rPr>
        <w:t xml:space="preserve"> </w:t>
      </w:r>
      <w:r>
        <w:rPr>
          <w:rFonts w:eastAsia="Times New Roman"/>
          <w:lang w:val="en-GB"/>
        </w:rPr>
        <w:t xml:space="preserve">should have </w:t>
      </w:r>
      <w:r>
        <w:rPr>
          <w:lang w:val="en-GB"/>
        </w:rPr>
        <w:t>ensures network to provide consisting values</w:t>
      </w:r>
      <w:r>
        <w:rPr>
          <w:rFonts w:eastAsia="Times New Roman"/>
          <w:lang w:val="en-GB"/>
        </w:rPr>
        <w:t>.</w:t>
      </w:r>
      <w:bookmarkEnd w:id="30"/>
      <w:bookmarkEnd w:id="31"/>
    </w:p>
    <w:p w14:paraId="4FB18675" w14:textId="208F50E4" w:rsidR="001B0F8E" w:rsidRDefault="001B0F8E" w:rsidP="001B0F8E">
      <w:pPr>
        <w:pStyle w:val="Proposal"/>
        <w:rPr>
          <w:rFonts w:eastAsia="Times New Roman"/>
          <w:lang w:val="en-GB"/>
        </w:rPr>
      </w:pPr>
    </w:p>
    <w:p w14:paraId="578772B6" w14:textId="77777777" w:rsidR="001B0F8E" w:rsidRPr="00BE0A96" w:rsidRDefault="001B0F8E" w:rsidP="001B0F8E">
      <w:pPr>
        <w:pStyle w:val="Heading1"/>
      </w:pPr>
      <w:r w:rsidRPr="00BE0A96">
        <w:t xml:space="preserve">Height-dependent configuration for </w:t>
      </w:r>
      <w:r>
        <w:t>reporting measurements</w:t>
      </w:r>
      <w:r w:rsidRPr="00BE0A96">
        <w:t xml:space="preserve"> </w:t>
      </w:r>
    </w:p>
    <w:p w14:paraId="0248A648" w14:textId="77777777" w:rsidR="001B0F8E" w:rsidRPr="00DC680A" w:rsidRDefault="001B0F8E" w:rsidP="001B0F8E">
      <w:pPr>
        <w:pStyle w:val="Proposal"/>
      </w:pPr>
    </w:p>
    <w:p w14:paraId="381FDCCB" w14:textId="77777777" w:rsidR="001B0F8E" w:rsidRDefault="001B0F8E" w:rsidP="001B0F8E">
      <w:r>
        <w:t xml:space="preserve">In RAN2-121bis, for MO configuration parameters, it was agreed that </w:t>
      </w:r>
      <w:r w:rsidRPr="00040E25">
        <w:t>SSB-</w:t>
      </w:r>
      <w:proofErr w:type="spellStart"/>
      <w:r w:rsidRPr="00040E25">
        <w:t>ToMeasure</w:t>
      </w:r>
      <w:proofErr w:type="spellEnd"/>
      <w:r>
        <w:t xml:space="preserve"> can be configured with height-dependent more-than-one configurations/values. How to specify it, as well as UE behavior on L1 and L3 measurement are FFS. For MR configuration parameters it was agreed that at least event A4 threshold and </w:t>
      </w:r>
      <w:proofErr w:type="spellStart"/>
      <w:r>
        <w:t>numberoftriggeringcells</w:t>
      </w:r>
      <w:proofErr w:type="spellEnd"/>
      <w:r>
        <w:t xml:space="preserve"> can</w:t>
      </w:r>
      <w:r w:rsidRPr="008110A0">
        <w:t xml:space="preserve"> be configured with height-dependent more-than-one configurations/values</w:t>
      </w:r>
      <w:r>
        <w:t>.</w:t>
      </w:r>
    </w:p>
    <w:p w14:paraId="396619E9" w14:textId="77777777" w:rsidR="001B0F8E" w:rsidRDefault="001B0F8E" w:rsidP="001B0F8E">
      <w:r>
        <w:t>In RAN2#122 the following agreement were achieved for this topic:</w:t>
      </w:r>
    </w:p>
    <w:p w14:paraId="1CFCD909" w14:textId="77777777" w:rsidR="001B0F8E" w:rsidRDefault="001B0F8E" w:rsidP="001B0F8E">
      <w:pPr>
        <w:pStyle w:val="Doc-text2"/>
      </w:pPr>
    </w:p>
    <w:p w14:paraId="2B1EFC7F" w14:textId="77777777" w:rsidR="001B0F8E" w:rsidRPr="008B3285" w:rsidRDefault="001B0F8E" w:rsidP="001B0F8E">
      <w:pPr>
        <w:pStyle w:val="Doc-text2"/>
        <w:pBdr>
          <w:top w:val="single" w:sz="4" w:space="1" w:color="auto"/>
          <w:left w:val="single" w:sz="4" w:space="4" w:color="auto"/>
          <w:bottom w:val="single" w:sz="4" w:space="1" w:color="auto"/>
          <w:right w:val="single" w:sz="4" w:space="4" w:color="auto"/>
        </w:pBdr>
        <w:rPr>
          <w:b/>
          <w:bCs/>
        </w:rPr>
      </w:pPr>
      <w:r w:rsidRPr="008B3285">
        <w:rPr>
          <w:b/>
          <w:bCs/>
        </w:rPr>
        <w:t>Agreements</w:t>
      </w:r>
    </w:p>
    <w:p w14:paraId="5EC95FE3" w14:textId="77777777" w:rsidR="001B0F8E" w:rsidRDefault="001B0F8E" w:rsidP="001B0F8E">
      <w:pPr>
        <w:pStyle w:val="Doc-text2"/>
        <w:numPr>
          <w:ilvl w:val="0"/>
          <w:numId w:val="23"/>
        </w:numPr>
        <w:pBdr>
          <w:top w:val="single" w:sz="4" w:space="1" w:color="auto"/>
          <w:left w:val="single" w:sz="4" w:space="4" w:color="auto"/>
          <w:bottom w:val="single" w:sz="4" w:space="1" w:color="auto"/>
          <w:right w:val="single" w:sz="4" w:space="4" w:color="auto"/>
        </w:pBdr>
      </w:pPr>
      <w:r w:rsidRPr="003E0168">
        <w:t>Add height-based list of SSB-</w:t>
      </w:r>
      <w:proofErr w:type="spellStart"/>
      <w:r w:rsidRPr="003E0168">
        <w:t>ToMeasure</w:t>
      </w:r>
      <w:proofErr w:type="spellEnd"/>
      <w:r w:rsidRPr="003E0168">
        <w:t xml:space="preserve"> with corresponding height ranges and hysteresis in </w:t>
      </w:r>
      <w:proofErr w:type="spellStart"/>
      <w:r w:rsidRPr="003E0168">
        <w:t>MeasObjectNR</w:t>
      </w:r>
      <w:proofErr w:type="spellEnd"/>
      <w:r>
        <w:t xml:space="preserve">.  FFS on the number of height ranges </w:t>
      </w:r>
    </w:p>
    <w:p w14:paraId="6E7079CE" w14:textId="77777777" w:rsidR="001B0F8E" w:rsidRDefault="001B0F8E" w:rsidP="001B0F8E">
      <w:pPr>
        <w:pStyle w:val="Doc-text2"/>
        <w:numPr>
          <w:ilvl w:val="0"/>
          <w:numId w:val="23"/>
        </w:numPr>
        <w:pBdr>
          <w:top w:val="single" w:sz="4" w:space="1" w:color="auto"/>
          <w:left w:val="single" w:sz="4" w:space="4" w:color="auto"/>
          <w:bottom w:val="single" w:sz="4" w:space="1" w:color="auto"/>
          <w:right w:val="single" w:sz="4" w:space="4" w:color="auto"/>
        </w:pBdr>
      </w:pPr>
      <w:r w:rsidRPr="00CF26DA">
        <w:t>As a basic principle, if no height-specific SSB-</w:t>
      </w:r>
      <w:proofErr w:type="spellStart"/>
      <w:r w:rsidRPr="00CF26DA">
        <w:t>ToMeasure</w:t>
      </w:r>
      <w:proofErr w:type="spellEnd"/>
      <w:r w:rsidRPr="00CF26DA">
        <w:t xml:space="preserve"> is configured for a specific height region, the legacy </w:t>
      </w:r>
      <w:proofErr w:type="spellStart"/>
      <w:r w:rsidRPr="00CF26DA">
        <w:t>behaviour</w:t>
      </w:r>
      <w:proofErr w:type="spellEnd"/>
      <w:r w:rsidRPr="00CF26DA">
        <w:t xml:space="preserve"> applies.  </w:t>
      </w:r>
    </w:p>
    <w:p w14:paraId="6BFDB4B7" w14:textId="77777777" w:rsidR="001B0F8E" w:rsidRDefault="001B0F8E" w:rsidP="001B0F8E">
      <w:pPr>
        <w:pStyle w:val="Doc-text2"/>
        <w:numPr>
          <w:ilvl w:val="0"/>
          <w:numId w:val="23"/>
        </w:numPr>
        <w:pBdr>
          <w:top w:val="single" w:sz="4" w:space="1" w:color="auto"/>
          <w:left w:val="single" w:sz="4" w:space="4" w:color="auto"/>
          <w:bottom w:val="single" w:sz="4" w:space="1" w:color="auto"/>
          <w:right w:val="single" w:sz="4" w:space="4" w:color="auto"/>
        </w:pBdr>
      </w:pPr>
      <w:r w:rsidRPr="001B6AAC">
        <w:t>For UE behavior on L1 and L3 measurement, it is left to UE implementation whether to keep/discard the old samples while UE moves to a new height region with a different SSB-</w:t>
      </w:r>
      <w:proofErr w:type="spellStart"/>
      <w:r w:rsidRPr="001B6AAC">
        <w:t>ToMeasure</w:t>
      </w:r>
      <w:proofErr w:type="spellEnd"/>
      <w:r w:rsidRPr="001B6AAC">
        <w:t xml:space="preserve"> value</w:t>
      </w:r>
    </w:p>
    <w:p w14:paraId="7F0ACB6F" w14:textId="77777777" w:rsidR="001B0F8E" w:rsidRDefault="001B0F8E" w:rsidP="001B0F8E">
      <w:pPr>
        <w:pStyle w:val="Doc-text2"/>
        <w:numPr>
          <w:ilvl w:val="0"/>
          <w:numId w:val="23"/>
        </w:numPr>
        <w:pBdr>
          <w:top w:val="single" w:sz="4" w:space="1" w:color="auto"/>
          <w:left w:val="single" w:sz="4" w:space="4" w:color="auto"/>
          <w:bottom w:val="single" w:sz="4" w:space="1" w:color="auto"/>
          <w:right w:val="single" w:sz="4" w:space="4" w:color="auto"/>
        </w:pBdr>
      </w:pPr>
      <w:r>
        <w:t>W</w:t>
      </w:r>
      <w:r w:rsidRPr="00E919F3">
        <w:t xml:space="preserve">hether UE height is included when </w:t>
      </w:r>
      <w:r>
        <w:t>UAV specific MR is triggered</w:t>
      </w:r>
      <w:r w:rsidRPr="00E919F3">
        <w:t xml:space="preserve"> is configurable by the network.</w:t>
      </w:r>
    </w:p>
    <w:p w14:paraId="5C2B645F" w14:textId="77777777" w:rsidR="001B0F8E" w:rsidRPr="000E2706" w:rsidRDefault="001B0F8E" w:rsidP="001B0F8E">
      <w:pPr>
        <w:pStyle w:val="Doc-text2"/>
        <w:numPr>
          <w:ilvl w:val="0"/>
          <w:numId w:val="23"/>
        </w:numPr>
        <w:pBdr>
          <w:top w:val="single" w:sz="4" w:space="1" w:color="auto"/>
          <w:left w:val="single" w:sz="4" w:space="4" w:color="auto"/>
          <w:bottom w:val="single" w:sz="4" w:space="1" w:color="auto"/>
          <w:right w:val="single" w:sz="4" w:space="4" w:color="auto"/>
        </w:pBdr>
      </w:pPr>
      <w:r>
        <w:t xml:space="preserve">We will use LTE </w:t>
      </w:r>
      <w:proofErr w:type="spellStart"/>
      <w:r>
        <w:t>UEheight</w:t>
      </w:r>
      <w:proofErr w:type="spellEnd"/>
      <w:r>
        <w:t>.</w:t>
      </w:r>
    </w:p>
    <w:p w14:paraId="07B684E1" w14:textId="77777777" w:rsidR="001B0F8E" w:rsidRDefault="001B0F8E" w:rsidP="001B0F8E">
      <w:pPr>
        <w:pStyle w:val="Comments"/>
        <w:rPr>
          <w:i w:val="0"/>
          <w:iCs/>
          <w:sz w:val="20"/>
          <w:szCs w:val="28"/>
        </w:rPr>
      </w:pPr>
    </w:p>
    <w:p w14:paraId="63B5366F" w14:textId="77777777" w:rsidR="001B0F8E" w:rsidRDefault="001B0F8E" w:rsidP="001B0F8E">
      <w:r>
        <w:t>For the A4 threshold to be height dependent, it seems nothing needs to be discussed separately as this seems to be automatically supported when event combinations will be supported. For example, to support height dependent A4 threshold, UE can be configured with combination between event H1 and A4 above a certain height, or combination between event H2 and A4 below a certain height.</w:t>
      </w:r>
    </w:p>
    <w:p w14:paraId="39F62FBE" w14:textId="77777777" w:rsidR="001B0F8E" w:rsidRDefault="001B0F8E" w:rsidP="001B0F8E">
      <w:pPr>
        <w:pStyle w:val="Proposal"/>
        <w:numPr>
          <w:ilvl w:val="0"/>
          <w:numId w:val="3"/>
        </w:numPr>
        <w:tabs>
          <w:tab w:val="clear" w:pos="5556"/>
        </w:tabs>
        <w:ind w:left="1701" w:hanging="1701"/>
      </w:pPr>
      <w:bookmarkStart w:id="32" w:name="_Toc134525455"/>
      <w:bookmarkStart w:id="33" w:name="_Toc142587551"/>
      <w:r>
        <w:t>Height dependent A4 threshold can be supported by the combination between event H1 and A4, or combination between event H2 and A4</w:t>
      </w:r>
      <w:bookmarkEnd w:id="32"/>
      <w:bookmarkEnd w:id="33"/>
    </w:p>
    <w:p w14:paraId="349269AF" w14:textId="77777777" w:rsidR="001B0F8E" w:rsidRDefault="001B0F8E" w:rsidP="001B0F8E">
      <w:r>
        <w:t xml:space="preserve">For number of triggering cells to be height dependent, RAN2 needs to discuss how to define the procedure. One thing to consider is how to handle cases like: if </w:t>
      </w:r>
      <w:proofErr w:type="spellStart"/>
      <w:r w:rsidRPr="0054364E">
        <w:rPr>
          <w:i/>
          <w:iCs/>
        </w:rPr>
        <w:t>numberoftriggeringcells</w:t>
      </w:r>
      <w:proofErr w:type="spellEnd"/>
      <w:r w:rsidRPr="0054364E">
        <w:rPr>
          <w:i/>
          <w:iCs/>
        </w:rPr>
        <w:t xml:space="preserve"> </w:t>
      </w:r>
      <w:r>
        <w:t xml:space="preserve">exceeds the configured threshold with H1 and then UE goes to height H2 and there the configured </w:t>
      </w:r>
      <w:proofErr w:type="spellStart"/>
      <w:r>
        <w:t>n</w:t>
      </w:r>
      <w:r w:rsidRPr="0054364E">
        <w:rPr>
          <w:i/>
          <w:iCs/>
        </w:rPr>
        <w:t>umberoftriggeringcells</w:t>
      </w:r>
      <w:proofErr w:type="spellEnd"/>
      <w:r>
        <w:t xml:space="preserve"> is less, does UE trigger the measurement reporting again? If not, how is it avoided? Does the list length need to be configured below the new </w:t>
      </w:r>
      <w:proofErr w:type="spellStart"/>
      <w:r w:rsidRPr="0054364E">
        <w:rPr>
          <w:i/>
          <w:iCs/>
        </w:rPr>
        <w:t>numberoftriggeringcells</w:t>
      </w:r>
      <w:proofErr w:type="spellEnd"/>
      <w:r>
        <w:t xml:space="preserve"> and then go up again to trigger the measurement reporting?</w:t>
      </w:r>
    </w:p>
    <w:p w14:paraId="6FED3A5C" w14:textId="77777777" w:rsidR="001B0F8E" w:rsidRDefault="001B0F8E" w:rsidP="001B0F8E">
      <w:pPr>
        <w:pStyle w:val="Proposal"/>
        <w:numPr>
          <w:ilvl w:val="0"/>
          <w:numId w:val="3"/>
        </w:numPr>
        <w:tabs>
          <w:tab w:val="clear" w:pos="5556"/>
        </w:tabs>
        <w:ind w:left="1701" w:hanging="1701"/>
      </w:pPr>
      <w:bookmarkStart w:id="34" w:name="_Toc134525456"/>
      <w:bookmarkStart w:id="35" w:name="_Toc142587552"/>
      <w:r>
        <w:t>For height dependent</w:t>
      </w:r>
      <w:r w:rsidRPr="0054364E">
        <w:rPr>
          <w:i/>
          <w:iCs/>
        </w:rPr>
        <w:t xml:space="preserve"> </w:t>
      </w:r>
      <w:proofErr w:type="spellStart"/>
      <w:r w:rsidRPr="0054364E">
        <w:rPr>
          <w:i/>
          <w:iCs/>
        </w:rPr>
        <w:t>numberoftriggeringcells</w:t>
      </w:r>
      <w:proofErr w:type="spellEnd"/>
      <w:r>
        <w:t>, RAN2 to discuss how to handle the parameter update during height switching</w:t>
      </w:r>
      <w:bookmarkEnd w:id="34"/>
      <w:bookmarkEnd w:id="35"/>
    </w:p>
    <w:p w14:paraId="7AE4C8D0" w14:textId="77777777" w:rsidR="001B0F8E" w:rsidRPr="001E6750" w:rsidRDefault="001B0F8E" w:rsidP="001B0F8E">
      <w:pPr>
        <w:rPr>
          <w:rFonts w:eastAsia="Times New Roman"/>
          <w:lang w:val="en-GB"/>
        </w:rPr>
      </w:pPr>
      <w:r>
        <w:t>In addition to the parameters agreed in RAN2-121bis, i</w:t>
      </w:r>
      <w:r w:rsidRPr="001E6750">
        <w:t xml:space="preserve">n the height dependent measurement report configuration, </w:t>
      </w:r>
      <w:r>
        <w:t>other</w:t>
      </w:r>
      <w:r w:rsidRPr="001E6750">
        <w:t xml:space="preserve"> selected parameters may</w:t>
      </w:r>
      <w:r>
        <w:t xml:space="preserve"> also</w:t>
      </w:r>
      <w:r w:rsidRPr="001E6750">
        <w:t xml:space="preserve"> be configured with different values corresponding to the UE height. For example, report interval</w:t>
      </w:r>
      <w:r w:rsidRPr="001E6750">
        <w:rPr>
          <w:rFonts w:hint="eastAsia"/>
        </w:rPr>
        <w:t>,</w:t>
      </w:r>
      <w:r w:rsidRPr="001E6750">
        <w:t xml:space="preserve"> report amount and maximum number of non-serving cells in the </w:t>
      </w:r>
      <w:proofErr w:type="spellStart"/>
      <w:r w:rsidRPr="0054364E">
        <w:rPr>
          <w:i/>
          <w:iCs/>
        </w:rPr>
        <w:lastRenderedPageBreak/>
        <w:t>ReportConfigNR</w:t>
      </w:r>
      <w:proofErr w:type="spellEnd"/>
      <w:r w:rsidRPr="001E6750">
        <w:t xml:space="preserve"> can be configured corresponding to different heights.</w:t>
      </w:r>
      <w:r>
        <w:t xml:space="preserve"> These should not lead to issues on updating filters or other ongoing procedures that the UE might have.</w:t>
      </w:r>
    </w:p>
    <w:p w14:paraId="35F8DB42" w14:textId="77777777" w:rsidR="001B0F8E" w:rsidRPr="00DC680A" w:rsidRDefault="001B0F8E" w:rsidP="001B0F8E">
      <w:pPr>
        <w:pStyle w:val="Proposal"/>
        <w:numPr>
          <w:ilvl w:val="0"/>
          <w:numId w:val="3"/>
        </w:numPr>
        <w:tabs>
          <w:tab w:val="clear" w:pos="5556"/>
        </w:tabs>
        <w:ind w:left="1701" w:hanging="1701"/>
      </w:pPr>
      <w:bookmarkStart w:id="36" w:name="_Toc134525457"/>
      <w:bookmarkStart w:id="37" w:name="OLE_LINK9"/>
      <w:bookmarkStart w:id="38" w:name="_Toc142587553"/>
      <w:r>
        <w:t xml:space="preserve">Support height dependent configuration for at least the following parameters: </w:t>
      </w:r>
      <w:r w:rsidRPr="001E6750">
        <w:t>report interval</w:t>
      </w:r>
      <w:r w:rsidRPr="001E6750">
        <w:rPr>
          <w:rFonts w:hint="eastAsia"/>
        </w:rPr>
        <w:t>,</w:t>
      </w:r>
      <w:r w:rsidRPr="001E6750">
        <w:t xml:space="preserve"> report amount and maximum number of non-serving cells</w:t>
      </w:r>
      <w:bookmarkEnd w:id="36"/>
      <w:bookmarkEnd w:id="38"/>
    </w:p>
    <w:bookmarkEnd w:id="37"/>
    <w:p w14:paraId="05C67B33" w14:textId="4BD09AFF" w:rsidR="001B0F8E" w:rsidRDefault="001B0F8E" w:rsidP="001B0F8E">
      <w:pPr>
        <w:pStyle w:val="Proposal"/>
        <w:rPr>
          <w:rFonts w:eastAsia="Times New Roman"/>
          <w:lang w:val="en-GB"/>
        </w:rPr>
      </w:pPr>
    </w:p>
    <w:bookmarkEnd w:id="19"/>
    <w:p w14:paraId="4671E92F" w14:textId="232CAD58" w:rsidR="008C02BD" w:rsidRDefault="004542FF" w:rsidP="003A6D33">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2B47CFC2" w:rsidR="00AB7C27" w:rsidRDefault="00AB7C27" w:rsidP="00AB7C27">
      <w:pPr>
        <w:rPr>
          <w:lang w:val="en-GB"/>
        </w:rPr>
      </w:pPr>
      <w:r>
        <w:rPr>
          <w:lang w:val="en-GB"/>
        </w:rPr>
        <w:t>While a triggering condition based on multiple cells 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39" w:name="_Toc510740572"/>
      <w:bookmarkStart w:id="40" w:name="_Toc134525446"/>
      <w:bookmarkStart w:id="41" w:name="_Toc142587542"/>
      <w:r>
        <w:rPr>
          <w:lang w:val="en-GB"/>
        </w:rPr>
        <w:t>For ensuring mobility performance, an aerial UE should be configured with single cell RSRP reporting with short TTT.</w:t>
      </w:r>
      <w:bookmarkEnd w:id="39"/>
      <w:bookmarkEnd w:id="40"/>
      <w:bookmarkEnd w:id="41"/>
    </w:p>
    <w:p w14:paraId="7F4CCF96" w14:textId="29D3C873"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and also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7D6AFC">
        <w:rPr>
          <w:lang w:val="en-GB"/>
        </w:rPr>
        <w:t>[7]</w:t>
      </w:r>
      <w:r w:rsidR="008466AC">
        <w:rPr>
          <w:lang w:val="en-GB"/>
        </w:rPr>
        <w:fldChar w:fldCharType="end"/>
      </w:r>
      <w:r w:rsidR="000B03EA" w:rsidRPr="006602F7">
        <w:rPr>
          <w:lang w:val="en-GB"/>
        </w:rPr>
        <w:t>.</w:t>
      </w:r>
      <w:r w:rsidR="000B03EA">
        <w:rPr>
          <w:lang w:val="en-GB"/>
        </w:rPr>
        <w:t xml:space="preserve"> </w:t>
      </w:r>
    </w:p>
    <w:p w14:paraId="55706A2A" w14:textId="64673A34" w:rsidR="001F7017" w:rsidRDefault="009662FC" w:rsidP="001F7017">
      <w:pPr>
        <w:pStyle w:val="Observation"/>
        <w:ind w:left="1701" w:hanging="1701"/>
        <w:rPr>
          <w:lang w:val="en-GB"/>
        </w:rPr>
      </w:pPr>
      <w:bookmarkStart w:id="42" w:name="_Toc134525447"/>
      <w:bookmarkStart w:id="43" w:name="_Toc142587543"/>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w:t>
      </w:r>
      <w:r w:rsidR="00830C08">
        <w:rPr>
          <w:lang w:val="en-GB"/>
        </w:rPr>
        <w:t>important</w:t>
      </w:r>
      <w:r w:rsidR="00463254">
        <w:rPr>
          <w:lang w:val="en-GB"/>
        </w:rPr>
        <w:t xml:space="preserve"> to control the amount of </w:t>
      </w:r>
      <w:r w:rsidR="0084426F">
        <w:rPr>
          <w:lang w:val="en-GB"/>
        </w:rPr>
        <w:t>reporting.</w:t>
      </w:r>
      <w:bookmarkEnd w:id="42"/>
      <w:bookmarkEnd w:id="43"/>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44" w:name="_Toc134525448"/>
      <w:bookmarkStart w:id="45" w:name="_Toc142587544"/>
      <w:r>
        <w:rPr>
          <w:lang w:val="en-GB"/>
        </w:rPr>
        <w:t>TTT and hysteresis control reporting amount when the value for the metric goes back and forth of the threshold value potentially causing entering/leaving of the condition.</w:t>
      </w:r>
      <w:bookmarkEnd w:id="44"/>
      <w:bookmarkEnd w:id="45"/>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46" w:name="_Toc134525449"/>
      <w:bookmarkStart w:id="47" w:name="_Toc142587545"/>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46"/>
      <w:bookmarkEnd w:id="47"/>
    </w:p>
    <w:p w14:paraId="7D984E1B" w14:textId="51E758B2"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7D6AFC">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Pr="00616333" w:rsidRDefault="00AB7C27" w:rsidP="00AB7C27">
      <w:pPr>
        <w:pStyle w:val="Observation"/>
        <w:ind w:left="1701" w:hanging="1701"/>
        <w:rPr>
          <w:lang w:val="en-GB"/>
        </w:rPr>
      </w:pPr>
      <w:bookmarkStart w:id="48" w:name="_Toc134525450"/>
      <w:bookmarkStart w:id="49" w:name="_Toc142587546"/>
      <w:r>
        <w:t xml:space="preserve">When an aerial UE flies or takes off, an event triggers consecutively due to different </w:t>
      </w:r>
      <w:r w:rsidRPr="00616333">
        <w:t>cells</w:t>
      </w:r>
      <w:r w:rsidRPr="00616333">
        <w:rPr>
          <w:lang w:val="en-GB"/>
        </w:rPr>
        <w:t>.</w:t>
      </w:r>
      <w:r w:rsidR="007D3F8D" w:rsidRPr="00616333">
        <w:rPr>
          <w:lang w:val="en-GB"/>
        </w:rPr>
        <w:t xml:space="preserve"> This may lead to </w:t>
      </w:r>
      <w:r w:rsidR="005D38B9" w:rsidRPr="00616333">
        <w:rPr>
          <w:lang w:val="en-GB"/>
        </w:rPr>
        <w:t>redundant UE measurement reports.</w:t>
      </w:r>
      <w:bookmarkEnd w:id="48"/>
      <w:bookmarkEnd w:id="49"/>
    </w:p>
    <w:p w14:paraId="57A642B0" w14:textId="1B299373" w:rsidR="00AB7C27" w:rsidRPr="008F5691" w:rsidRDefault="00AB7C27" w:rsidP="00AB7C27">
      <w:pPr>
        <w:rPr>
          <w:lang w:val="en-GB"/>
        </w:rPr>
      </w:pPr>
      <w:r w:rsidRPr="00616333">
        <w:rPr>
          <w:lang w:val="en-GB"/>
        </w:rPr>
        <w:t>Thus, we propose that RAN2 specify mechanism to control the amount of measurement reporting.</w:t>
      </w:r>
      <w:bookmarkStart w:id="50" w:name="_Toc510712179"/>
      <w:bookmarkEnd w:id="50"/>
      <w:r w:rsidR="009776EF">
        <w:rPr>
          <w:lang w:val="en-GB"/>
        </w:rPr>
        <w:t xml:space="preserve"> </w:t>
      </w:r>
      <w:r w:rsidRPr="00616333">
        <w:t xml:space="preserve">The proposed way is to limit the measurement reporting </w:t>
      </w:r>
      <w:r w:rsidR="00FE6571" w:rsidRPr="00616333">
        <w:t>by</w:t>
      </w:r>
      <w:r w:rsidRPr="00616333">
        <w:t xml:space="preserve"> defin</w:t>
      </w:r>
      <w:r w:rsidR="00FE6571" w:rsidRPr="00616333">
        <w:t>ing</w:t>
      </w:r>
      <w:r w:rsidRPr="00616333">
        <w:t xml:space="preserve"> a prohibit timer which prevents sending the measurement reports for a configurable time after the event has been triggered and the first report has been sent. The use of prohibit timer is associated to the reporting configuration. </w:t>
      </w:r>
      <w:r w:rsidR="00EF40A4" w:rsidRPr="00616333">
        <w:t>Just a</w:t>
      </w:r>
      <w:r w:rsidR="00941E48" w:rsidRPr="00616333">
        <w:t>s it is</w:t>
      </w:r>
      <w:r w:rsidR="00EF40A4" w:rsidRPr="00616333">
        <w:t xml:space="preserve"> proposed for regular mobility events originally,</w:t>
      </w:r>
      <w:r w:rsidR="00941E48" w:rsidRPr="00616333">
        <w:t xml:space="preserve"> this method </w:t>
      </w:r>
      <w:r w:rsidRPr="00616333">
        <w:t xml:space="preserve">can </w:t>
      </w:r>
      <w:r w:rsidR="00345B22" w:rsidRPr="00616333">
        <w:t xml:space="preserve">enable timely reporting when the event is triggered first time for the purpose of mobility control, as well as </w:t>
      </w:r>
      <w:r w:rsidRPr="00616333">
        <w:t>control</w:t>
      </w:r>
      <w:r w:rsidR="00345B22" w:rsidRPr="00616333">
        <w:t>ling</w:t>
      </w:r>
      <w:r w:rsidRPr="00616333">
        <w:t xml:space="preserve"> the amount of measurement reportin</w:t>
      </w:r>
      <w:r w:rsidR="009A2B59" w:rsidRPr="00616333">
        <w:t xml:space="preserve">g. For mobility events, when the UE starts to fly, same event is </w:t>
      </w:r>
      <w:r w:rsidRPr="00616333">
        <w:t>g</w:t>
      </w:r>
      <w:r w:rsidR="009A2B59" w:rsidRPr="00616333">
        <w:t xml:space="preserve">oing to be triggered </w:t>
      </w:r>
      <w:r w:rsidR="004D0502" w:rsidRPr="00616333">
        <w:t>by new cell consecutively. In this case, it is difficult for RRC configuring to</w:t>
      </w:r>
      <w:r w:rsidR="00416A1D" w:rsidRPr="00616333">
        <w:t xml:space="preserve"> impact the </w:t>
      </w:r>
      <w:r w:rsidR="00ED1E74" w:rsidRPr="00616333">
        <w:t xml:space="preserve">mobility behavior as it is slow. </w:t>
      </w:r>
      <w:r w:rsidR="007B1A6E" w:rsidRPr="00616333">
        <w:t>Introdu</w:t>
      </w:r>
      <w:r w:rsidR="00E72EBF" w:rsidRPr="00616333">
        <w:t>c</w:t>
      </w:r>
      <w:r w:rsidR="007B1A6E" w:rsidRPr="00616333">
        <w:t xml:space="preserve">ing prohibit timer </w:t>
      </w:r>
      <w:r w:rsidR="00E72EBF" w:rsidRPr="00616333">
        <w:t>would</w:t>
      </w:r>
      <w:r w:rsidR="009659AE" w:rsidRPr="00616333">
        <w:t xml:space="preserve"> be an effective way to</w:t>
      </w:r>
      <w:r w:rsidR="00E72EBF" w:rsidRPr="00616333">
        <w:t xml:space="preserve"> impact the configuration</w:t>
      </w:r>
      <w:r w:rsidRPr="00616333">
        <w:t>. As the idea of preventing certain measurement results can result in a worry on de</w:t>
      </w:r>
      <w:r w:rsidR="00923EE1" w:rsidRPr="00616333">
        <w:t>c</w:t>
      </w:r>
      <w:r w:rsidRPr="00616333">
        <w:t xml:space="preserve">reasing mobility performance, we present simulation results to show that this seem not to be </w:t>
      </w:r>
      <w:r w:rsidRPr="00616333">
        <w:lastRenderedPageBreak/>
        <w:t>the case for drone UEs.</w:t>
      </w:r>
      <w:r w:rsidR="009279A1" w:rsidRPr="00616333">
        <w:t xml:space="preserve"> The results were </w:t>
      </w:r>
      <w:r w:rsidR="00D41705" w:rsidRPr="00616333">
        <w:t>performed under LTE UAV simulation assumptions (TR 36.777) and was first shown in</w:t>
      </w:r>
      <w:r w:rsidR="00D859B4" w:rsidRPr="00616333">
        <w:t xml:space="preserve"> </w:t>
      </w:r>
      <w:r w:rsidR="00D859B4" w:rsidRPr="00616333">
        <w:fldChar w:fldCharType="begin"/>
      </w:r>
      <w:r w:rsidR="00D859B4" w:rsidRPr="00616333">
        <w:instrText xml:space="preserve"> REF _Ref110870412 \r \h </w:instrText>
      </w:r>
      <w:r w:rsidR="00616333">
        <w:instrText xml:space="preserve"> \* MERGEFORMAT </w:instrText>
      </w:r>
      <w:r w:rsidR="00D859B4" w:rsidRPr="00616333">
        <w:fldChar w:fldCharType="separate"/>
      </w:r>
      <w:r w:rsidR="007D6AFC">
        <w:t>[8]</w:t>
      </w:r>
      <w:r w:rsidR="00D859B4" w:rsidRPr="00616333">
        <w:fldChar w:fldCharType="end"/>
      </w:r>
      <w:r w:rsidR="00E37714" w:rsidRPr="00616333">
        <w:t>, but the observations and conclusions should hold true for NR as well.</w:t>
      </w:r>
    </w:p>
    <w:p w14:paraId="54DED2F4" w14:textId="5ECF6812" w:rsidR="008F5691" w:rsidRPr="00616333" w:rsidRDefault="008F5691" w:rsidP="008F5691">
      <w:pPr>
        <w:rPr>
          <w:lang w:val="en-GB"/>
        </w:rPr>
      </w:pPr>
      <w:r w:rsidRPr="00616333">
        <w:rPr>
          <w:lang w:val="en-GB"/>
        </w:rPr>
        <w:t xml:space="preserve">We propose to introduce a prohibit timer in NR similar to the CRs RAN2 discussed for LTE in </w:t>
      </w:r>
      <w:r w:rsidRPr="00616333">
        <w:rPr>
          <w:lang w:val="en-GB"/>
        </w:rPr>
        <w:fldChar w:fldCharType="begin"/>
      </w:r>
      <w:r w:rsidRPr="00616333">
        <w:rPr>
          <w:lang w:val="en-GB"/>
        </w:rPr>
        <w:instrText xml:space="preserve"> REF _Ref110870596 \r \h </w:instrText>
      </w:r>
      <w:r>
        <w:rPr>
          <w:lang w:val="en-GB"/>
        </w:rPr>
        <w:instrText xml:space="preserve"> \* MERGEFORMAT </w:instrText>
      </w:r>
      <w:r w:rsidRPr="00616333">
        <w:rPr>
          <w:lang w:val="en-GB"/>
        </w:rPr>
      </w:r>
      <w:r w:rsidRPr="00616333">
        <w:rPr>
          <w:lang w:val="en-GB"/>
        </w:rPr>
        <w:fldChar w:fldCharType="separate"/>
      </w:r>
      <w:r w:rsidR="007D6AFC">
        <w:rPr>
          <w:lang w:val="en-GB"/>
        </w:rPr>
        <w:t>[9]</w:t>
      </w:r>
      <w:r w:rsidRPr="00616333">
        <w:rPr>
          <w:lang w:val="en-GB"/>
        </w:rPr>
        <w:fldChar w:fldCharType="end"/>
      </w:r>
      <w:r w:rsidRPr="00616333">
        <w:rPr>
          <w:lang w:val="en-GB"/>
        </w:rPr>
        <w:fldChar w:fldCharType="begin"/>
      </w:r>
      <w:r w:rsidRPr="00616333">
        <w:rPr>
          <w:lang w:val="en-GB"/>
        </w:rPr>
        <w:instrText xml:space="preserve"> REF _Ref525223252 \r \h </w:instrText>
      </w:r>
      <w:r>
        <w:rPr>
          <w:lang w:val="en-GB"/>
        </w:rPr>
        <w:instrText xml:space="preserve"> \* MERGEFORMAT </w:instrText>
      </w:r>
      <w:r w:rsidRPr="00616333">
        <w:rPr>
          <w:lang w:val="en-GB"/>
        </w:rPr>
      </w:r>
      <w:r w:rsidRPr="00616333">
        <w:rPr>
          <w:lang w:val="en-GB"/>
        </w:rPr>
        <w:fldChar w:fldCharType="separate"/>
      </w:r>
      <w:r w:rsidR="007D6AFC">
        <w:rPr>
          <w:lang w:val="en-GB"/>
        </w:rPr>
        <w:t>[10]</w:t>
      </w:r>
      <w:r w:rsidRPr="00616333">
        <w:rPr>
          <w:lang w:val="en-GB"/>
        </w:rPr>
        <w:fldChar w:fldCharType="end"/>
      </w:r>
      <w:r w:rsidRPr="00616333">
        <w:rPr>
          <w:lang w:val="en-GB"/>
        </w:rPr>
        <w:fldChar w:fldCharType="begin"/>
      </w:r>
      <w:r w:rsidRPr="00616333">
        <w:rPr>
          <w:lang w:val="en-GB"/>
        </w:rPr>
        <w:instrText xml:space="preserve"> REF _Ref525826756 \r \h </w:instrText>
      </w:r>
      <w:r>
        <w:rPr>
          <w:lang w:val="en-GB"/>
        </w:rPr>
        <w:instrText xml:space="preserve"> \* MERGEFORMAT </w:instrText>
      </w:r>
      <w:r w:rsidRPr="00616333">
        <w:rPr>
          <w:lang w:val="en-GB"/>
        </w:rPr>
      </w:r>
      <w:r w:rsidRPr="00616333">
        <w:rPr>
          <w:lang w:val="en-GB"/>
        </w:rPr>
        <w:fldChar w:fldCharType="separate"/>
      </w:r>
      <w:r w:rsidR="007D6AFC">
        <w:rPr>
          <w:lang w:val="en-GB"/>
        </w:rPr>
        <w:t>[11]</w:t>
      </w:r>
      <w:r w:rsidRPr="00616333">
        <w:rPr>
          <w:lang w:val="en-GB"/>
        </w:rPr>
        <w:fldChar w:fldCharType="end"/>
      </w:r>
    </w:p>
    <w:p w14:paraId="034FBB61" w14:textId="055E7979" w:rsidR="008F5691" w:rsidRPr="00616333" w:rsidRDefault="008F5691" w:rsidP="008F5691">
      <w:pPr>
        <w:pStyle w:val="Proposal"/>
        <w:numPr>
          <w:ilvl w:val="0"/>
          <w:numId w:val="3"/>
        </w:numPr>
        <w:tabs>
          <w:tab w:val="clear" w:pos="5556"/>
        </w:tabs>
        <w:ind w:left="1701" w:hanging="1701"/>
        <w:rPr>
          <w:rFonts w:eastAsia="Times New Roman"/>
          <w:lang w:val="en-GB"/>
        </w:rPr>
      </w:pPr>
      <w:bookmarkStart w:id="51" w:name="_Toc510712182"/>
      <w:bookmarkStart w:id="52" w:name="_Toc134525453"/>
      <w:bookmarkStart w:id="53" w:name="_Toc142587554"/>
      <w:bookmarkEnd w:id="51"/>
      <w:r w:rsidRPr="00616333">
        <w:t>Introduce a prohibit timer in reporting configuration for the purpose of mobility control: UE is prevented from triggering the measurement report for a configurable time after the event is first triggered and first report is sent.</w:t>
      </w:r>
      <w:bookmarkEnd w:id="52"/>
      <w:bookmarkEnd w:id="53"/>
    </w:p>
    <w:p w14:paraId="179F6AA1" w14:textId="77777777" w:rsidR="008F5691" w:rsidRDefault="008F5691" w:rsidP="00AB7C27"/>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71C55EF3" w:rsidR="009279A1" w:rsidRPr="006E2530" w:rsidRDefault="009279A1" w:rsidP="009279A1">
      <w:pPr>
        <w:pStyle w:val="Caption"/>
        <w:jc w:val="both"/>
        <w:rPr>
          <w:b w:val="0"/>
          <w:lang w:val="en-GB"/>
        </w:rPr>
      </w:pPr>
      <w:r>
        <w:t xml:space="preserve">Figure </w:t>
      </w:r>
      <w:fldSimple w:instr=" SEQ Figure \* ARABIC ">
        <w:r w:rsidR="007D6AFC">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r>
        <w:rPr>
          <w:lang w:val="en-GB"/>
        </w:rPr>
        <w:t xml:space="preserve">In order to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w:t>
      </w:r>
      <w:proofErr w:type="spellStart"/>
      <w:r>
        <w:rPr>
          <w:lang w:val="en-GB"/>
        </w:rPr>
        <w:t>ouble</w:t>
      </w:r>
      <w:proofErr w:type="spellEnd"/>
      <w:r>
        <w:rPr>
          <w:lang w:val="en-GB"/>
        </w:rPr>
        <w:t xml:space="preserv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lastRenderedPageBreak/>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194DEC58" w:rsidR="009279A1" w:rsidRPr="00616333" w:rsidRDefault="009279A1" w:rsidP="009279A1">
      <w:pPr>
        <w:rPr>
          <w:lang w:val="en-GB"/>
        </w:rPr>
      </w:pPr>
      <w:r>
        <w:rPr>
          <w:lang w:val="en-GB"/>
        </w:rPr>
        <w:t xml:space="preserve">From figure 3 we can see that the RLFs, handover initiated and handover failures remain almost constant. The reason for this </w:t>
      </w:r>
      <w:r w:rsidRPr="00616333">
        <w:rPr>
          <w:lang w:val="en-GB"/>
        </w:rPr>
        <w:t xml:space="preserve">can be seen in figure 1. In cases where many measurement reports are sent consecutively in time, the interference is very large and it is unclear whether the condition reported in the measurements will </w:t>
      </w:r>
      <w:r w:rsidRPr="00616333">
        <w:rPr>
          <w:lang w:val="en-GB"/>
        </w:rPr>
        <w:lastRenderedPageBreak/>
        <w:t xml:space="preserve">remain, thus delaying some of them will not hurt the performance, because if the condition is still present, then the report will eventually </w:t>
      </w:r>
      <w:bookmarkStart w:id="54" w:name="OLE_LINK3"/>
      <w:r w:rsidRPr="00616333">
        <w:rPr>
          <w:lang w:val="en-GB"/>
        </w:rPr>
        <w:t>surface</w:t>
      </w:r>
      <w:bookmarkEnd w:id="54"/>
      <w:r w:rsidRPr="00616333">
        <w:rPr>
          <w:lang w:val="en-GB"/>
        </w:rPr>
        <w:t xml:space="preserve">. </w:t>
      </w:r>
    </w:p>
    <w:p w14:paraId="28932892" w14:textId="7FE24BDF" w:rsidR="007B31DF" w:rsidRDefault="007B31DF" w:rsidP="007B31DF">
      <w:pPr>
        <w:pStyle w:val="Proposal"/>
        <w:rPr>
          <w:rFonts w:eastAsia="Times New Roman"/>
          <w:lang w:val="en-GB"/>
        </w:rPr>
      </w:pPr>
    </w:p>
    <w:p w14:paraId="77CD74D4" w14:textId="77777777" w:rsidR="001B0F8E" w:rsidRPr="00045B3A" w:rsidRDefault="001B0F8E" w:rsidP="001B0F8E">
      <w:pPr>
        <w:pStyle w:val="Proposal"/>
        <w:rPr>
          <w:rFonts w:eastAsia="Times New Roman"/>
          <w:lang w:val="en-GB"/>
        </w:rPr>
      </w:pPr>
    </w:p>
    <w:p w14:paraId="28416D37" w14:textId="77777777" w:rsidR="001B0F8E" w:rsidRPr="00F11FD2" w:rsidRDefault="001B0F8E" w:rsidP="001B0F8E">
      <w:pPr>
        <w:pStyle w:val="Heading1"/>
        <w:rPr>
          <w:rStyle w:val="CommentReference"/>
          <w:sz w:val="36"/>
          <w:szCs w:val="36"/>
        </w:rPr>
      </w:pPr>
      <w:r>
        <w:t>User consent on location reporting</w:t>
      </w:r>
    </w:p>
    <w:p w14:paraId="7107A0C8" w14:textId="77777777" w:rsidR="001B0F8E" w:rsidRPr="00207AC2" w:rsidRDefault="001B0F8E" w:rsidP="001B0F8E">
      <w:pPr>
        <w:pStyle w:val="Proposal"/>
        <w:ind w:left="1701"/>
        <w:rPr>
          <w:rFonts w:eastAsia="Times New Roman"/>
          <w:lang w:val="en-GB"/>
        </w:rPr>
      </w:pPr>
    </w:p>
    <w:p w14:paraId="4CB015A3" w14:textId="77777777" w:rsidR="001B0F8E" w:rsidRDefault="001B0F8E" w:rsidP="001B0F8E">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consider the decisions from these WGs when available.</w:t>
      </w:r>
    </w:p>
    <w:p w14:paraId="1A3AE728" w14:textId="77777777" w:rsidR="001B0F8E" w:rsidRPr="00207AC2" w:rsidRDefault="001B0F8E" w:rsidP="001B0F8E">
      <w:pPr>
        <w:pStyle w:val="Proposal"/>
        <w:numPr>
          <w:ilvl w:val="0"/>
          <w:numId w:val="3"/>
        </w:numPr>
        <w:tabs>
          <w:tab w:val="clear" w:pos="5556"/>
        </w:tabs>
        <w:ind w:left="1701" w:hanging="1701"/>
        <w:rPr>
          <w:rFonts w:eastAsia="Times New Roman"/>
          <w:lang w:val="en-GB"/>
        </w:rPr>
      </w:pPr>
      <w:bookmarkStart w:id="55" w:name="_Toc134525452"/>
      <w:bookmarkStart w:id="56" w:name="_Toc142587555"/>
      <w:r w:rsidRPr="00207AC2">
        <w:rPr>
          <w:rFonts w:eastAsia="Times New Roman"/>
          <w:lang w:val="en-GB"/>
        </w:rPr>
        <w:t xml:space="preserve">RAN2 to </w:t>
      </w:r>
      <w:r>
        <w:rPr>
          <w:rFonts w:eastAsia="Times New Roman"/>
          <w:lang w:val="en-GB"/>
        </w:rPr>
        <w:t>work on signalling for location reporting and consider</w:t>
      </w:r>
      <w:r w:rsidRPr="00207AC2">
        <w:rPr>
          <w:rFonts w:eastAsia="Times New Roman"/>
          <w:lang w:val="en-GB"/>
        </w:rPr>
        <w:t xml:space="preserve"> the decision from SA2 and SA3 on the topic of user consent</w:t>
      </w:r>
      <w:r>
        <w:rPr>
          <w:rFonts w:eastAsia="Times New Roman"/>
          <w:lang w:val="en-GB"/>
        </w:rPr>
        <w:t>-</w:t>
      </w:r>
      <w:r w:rsidRPr="00207AC2">
        <w:rPr>
          <w:rFonts w:eastAsia="Times New Roman"/>
          <w:lang w:val="en-GB"/>
        </w:rPr>
        <w:t>based location report</w:t>
      </w:r>
      <w:r>
        <w:rPr>
          <w:rFonts w:eastAsia="Times New Roman"/>
          <w:lang w:val="en-GB"/>
        </w:rPr>
        <w:t xml:space="preserve"> once available</w:t>
      </w:r>
      <w:r w:rsidRPr="00207AC2">
        <w:rPr>
          <w:rFonts w:eastAsia="Times New Roman"/>
          <w:lang w:val="en-GB"/>
        </w:rPr>
        <w:t>.</w:t>
      </w:r>
      <w:bookmarkEnd w:id="55"/>
      <w:bookmarkEnd w:id="56"/>
    </w:p>
    <w:p w14:paraId="60C2B44F" w14:textId="77777777" w:rsidR="001B0F8E" w:rsidRPr="00616333" w:rsidRDefault="001B0F8E" w:rsidP="001B0F8E">
      <w:pPr>
        <w:rPr>
          <w:highlight w:val="yellow"/>
        </w:rPr>
      </w:pPr>
    </w:p>
    <w:p w14:paraId="288C1F2E" w14:textId="77777777" w:rsidR="001B0F8E" w:rsidRPr="0050774B" w:rsidRDefault="001B0F8E" w:rsidP="001B0F8E">
      <w:pPr>
        <w:pStyle w:val="Proposal"/>
        <w:rPr>
          <w:b w:val="0"/>
          <w:bCs w:val="0"/>
          <w:lang w:val="en-GB"/>
        </w:rPr>
      </w:pPr>
    </w:p>
    <w:p w14:paraId="0A0DE827" w14:textId="77777777" w:rsidR="007E758E" w:rsidRPr="00DC680A" w:rsidRDefault="007E758E" w:rsidP="007E7014">
      <w:pPr>
        <w:pStyle w:val="Proposal"/>
        <w:rPr>
          <w:highlight w:val="yellow"/>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57" w:name="_In-sequence_SDU_delivery"/>
      <w:bookmarkEnd w:id="57"/>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66646408" w14:textId="4513B4A0" w:rsidR="00A94250"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\f O \n \h \z \t "Observation" \c </w:instrText>
      </w:r>
      <w:r w:rsidRPr="003A6D33">
        <w:rPr>
          <w:b w:val="0"/>
          <w:bCs/>
        </w:rPr>
        <w:fldChar w:fldCharType="separate"/>
      </w:r>
      <w:hyperlink w:anchor="_Toc142587535" w:history="1">
        <w:r w:rsidR="00A94250" w:rsidRPr="00212D6B">
          <w:rPr>
            <w:rStyle w:val="Hyperlink"/>
            <w:noProof/>
          </w:rPr>
          <w:t>Observation 1</w:t>
        </w:r>
        <w:r w:rsidR="00A94250">
          <w:rPr>
            <w:rFonts w:asciiTheme="minorHAnsi" w:eastAsiaTheme="minorEastAsia" w:hAnsiTheme="minorHAnsi" w:cstheme="minorBidi"/>
            <w:b w:val="0"/>
            <w:noProof/>
            <w:sz w:val="22"/>
            <w:szCs w:val="22"/>
            <w:lang w:val="en-FI" w:eastAsia="en-FI"/>
          </w:rPr>
          <w:tab/>
        </w:r>
        <w:r w:rsidR="00A94250" w:rsidRPr="00212D6B">
          <w:rPr>
            <w:rStyle w:val="Hyperlink"/>
            <w:noProof/>
          </w:rPr>
          <w:t>As with additional OOBE requirements, no-transmit zones are important to protect incumbent radio systems from potential interference from aerial UEs.</w:t>
        </w:r>
      </w:hyperlink>
    </w:p>
    <w:p w14:paraId="345E6E3C" w14:textId="04494482"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36" w:history="1">
        <w:r w:rsidRPr="00212D6B">
          <w:rPr>
            <w:rStyle w:val="Hyperlink"/>
            <w:noProof/>
          </w:rPr>
          <w:t>Observation 2</w:t>
        </w:r>
        <w:r>
          <w:rPr>
            <w:rFonts w:asciiTheme="minorHAnsi" w:eastAsiaTheme="minorEastAsia" w:hAnsiTheme="minorHAnsi" w:cstheme="minorBidi"/>
            <w:b w:val="0"/>
            <w:noProof/>
            <w:sz w:val="22"/>
            <w:szCs w:val="22"/>
            <w:lang w:val="en-FI" w:eastAsia="en-FI"/>
          </w:rPr>
          <w:tab/>
        </w:r>
        <w:r w:rsidRPr="00212D6B">
          <w:rPr>
            <w:rStyle w:val="Hyperlink"/>
            <w:noProof/>
          </w:rPr>
          <w:t>ECC decision (22)07 on “harmonised framework on aerial UE usage in MFCN harmonised bands” requires a mechanism to ensure that aerial UEs respect no-transmit zones.</w:t>
        </w:r>
      </w:hyperlink>
    </w:p>
    <w:p w14:paraId="25B7B9C8" w14:textId="6E021E14"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37" w:history="1">
        <w:r w:rsidRPr="00212D6B">
          <w:rPr>
            <w:rStyle w:val="Hyperlink"/>
            <w:noProof/>
          </w:rPr>
          <w:t>Observation 3</w:t>
        </w:r>
        <w:r>
          <w:rPr>
            <w:rFonts w:asciiTheme="minorHAnsi" w:eastAsiaTheme="minorEastAsia" w:hAnsiTheme="minorHAnsi" w:cstheme="minorBidi"/>
            <w:b w:val="0"/>
            <w:noProof/>
            <w:sz w:val="22"/>
            <w:szCs w:val="22"/>
            <w:lang w:val="en-FI" w:eastAsia="en-FI"/>
          </w:rPr>
          <w:tab/>
        </w:r>
        <w:r w:rsidRPr="00212D6B">
          <w:rPr>
            <w:rStyle w:val="Hyperlink"/>
            <w:noProof/>
          </w:rPr>
          <w:t>NTZs can affect aerial UE access to a cell and interference to neighbouring cells.</w:t>
        </w:r>
      </w:hyperlink>
    </w:p>
    <w:p w14:paraId="145EFA29" w14:textId="1CEC3424"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38" w:history="1">
        <w:r w:rsidRPr="00212D6B">
          <w:rPr>
            <w:rStyle w:val="Hyperlink"/>
            <w:noProof/>
          </w:rPr>
          <w:t>Observation 4</w:t>
        </w:r>
        <w:r>
          <w:rPr>
            <w:rFonts w:asciiTheme="minorHAnsi" w:eastAsiaTheme="minorEastAsia" w:hAnsiTheme="minorHAnsi" w:cstheme="minorBidi"/>
            <w:b w:val="0"/>
            <w:noProof/>
            <w:sz w:val="22"/>
            <w:szCs w:val="22"/>
            <w:lang w:val="en-FI" w:eastAsia="en-FI"/>
          </w:rPr>
          <w:tab/>
        </w:r>
        <w:r w:rsidRPr="00212D6B">
          <w:rPr>
            <w:rStyle w:val="Hyperlink"/>
            <w:noProof/>
          </w:rPr>
          <w:t>Cell-level mechanisms can be imposed by RAN nodes to bar aerial UEs from accessing NTZ-affected cells.</w:t>
        </w:r>
      </w:hyperlink>
    </w:p>
    <w:p w14:paraId="1AAFBBD5" w14:textId="090B8C7D"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39" w:history="1">
        <w:r w:rsidRPr="00212D6B">
          <w:rPr>
            <w:rStyle w:val="Hyperlink"/>
            <w:noProof/>
          </w:rPr>
          <w:t>Observation 5</w:t>
        </w:r>
        <w:r>
          <w:rPr>
            <w:rFonts w:asciiTheme="minorHAnsi" w:eastAsiaTheme="minorEastAsia" w:hAnsiTheme="minorHAnsi" w:cstheme="minorBidi"/>
            <w:b w:val="0"/>
            <w:noProof/>
            <w:sz w:val="22"/>
            <w:szCs w:val="22"/>
            <w:lang w:val="en-FI" w:eastAsia="en-FI"/>
          </w:rPr>
          <w:tab/>
        </w:r>
        <w:r w:rsidRPr="00212D6B">
          <w:rPr>
            <w:rStyle w:val="Hyperlink"/>
            <w:noProof/>
          </w:rPr>
          <w:t>Connected aerial UEs can inform RAN nodes when the UEs are entering or leaving no-transmit zones.</w:t>
        </w:r>
      </w:hyperlink>
    </w:p>
    <w:p w14:paraId="62C5920D" w14:textId="3360A364"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40" w:history="1">
        <w:r w:rsidRPr="00212D6B">
          <w:rPr>
            <w:rStyle w:val="Hyperlink"/>
            <w:noProof/>
          </w:rPr>
          <w:t>Observation 6</w:t>
        </w:r>
        <w:r>
          <w:rPr>
            <w:rFonts w:asciiTheme="minorHAnsi" w:eastAsiaTheme="minorEastAsia" w:hAnsiTheme="minorHAnsi" w:cstheme="minorBidi"/>
            <w:b w:val="0"/>
            <w:noProof/>
            <w:sz w:val="22"/>
            <w:szCs w:val="22"/>
            <w:lang w:val="en-FI" w:eastAsia="en-FI"/>
          </w:rPr>
          <w:tab/>
        </w:r>
        <w:r w:rsidRPr="00212D6B">
          <w:rPr>
            <w:rStyle w:val="Hyperlink"/>
            <w:noProof/>
          </w:rPr>
          <w:t>With respect to triggering measurement result, that is for TTT, the operation of new event and combination of existing events is the same.</w:t>
        </w:r>
      </w:hyperlink>
    </w:p>
    <w:p w14:paraId="5080D4FD" w14:textId="5E56C864"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41" w:history="1">
        <w:r w:rsidRPr="00212D6B">
          <w:rPr>
            <w:rStyle w:val="Hyperlink"/>
            <w:noProof/>
          </w:rPr>
          <w:t>Observation 7</w:t>
        </w:r>
        <w:r>
          <w:rPr>
            <w:rFonts w:asciiTheme="minorHAnsi" w:eastAsiaTheme="minorEastAsia" w:hAnsiTheme="minorHAnsi" w:cstheme="minorBidi"/>
            <w:b w:val="0"/>
            <w:noProof/>
            <w:sz w:val="22"/>
            <w:szCs w:val="22"/>
            <w:lang w:val="en-FI" w:eastAsia="en-FI"/>
          </w:rPr>
          <w:tab/>
        </w:r>
        <w:r w:rsidRPr="00212D6B">
          <w:rPr>
            <w:rStyle w:val="Hyperlink"/>
            <w:noProof/>
          </w:rPr>
          <w:t>The combination of existing events is already in use for CHO and has proven to work.</w:t>
        </w:r>
      </w:hyperlink>
    </w:p>
    <w:p w14:paraId="7977C6B2" w14:textId="754E404B"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42" w:history="1">
        <w:r w:rsidRPr="00212D6B">
          <w:rPr>
            <w:rStyle w:val="Hyperlink"/>
            <w:noProof/>
          </w:rPr>
          <w:t>Observation 8</w:t>
        </w:r>
        <w:r>
          <w:rPr>
            <w:rFonts w:asciiTheme="minorHAnsi" w:eastAsiaTheme="minorEastAsia" w:hAnsiTheme="minorHAnsi" w:cstheme="minorBidi"/>
            <w:b w:val="0"/>
            <w:noProof/>
            <w:sz w:val="22"/>
            <w:szCs w:val="22"/>
            <w:lang w:val="en-FI" w:eastAsia="en-FI"/>
          </w:rPr>
          <w:tab/>
        </w:r>
        <w:r w:rsidRPr="00212D6B">
          <w:rPr>
            <w:rStyle w:val="Hyperlink"/>
            <w:noProof/>
          </w:rPr>
          <w:t>For ensuring mobility performance, an aerial UE should be configured with single cell RSRP reporting with short TTT.</w:t>
        </w:r>
      </w:hyperlink>
    </w:p>
    <w:p w14:paraId="030EA43D" w14:textId="2B4B9ADE"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43" w:history="1">
        <w:r w:rsidRPr="00212D6B">
          <w:rPr>
            <w:rStyle w:val="Hyperlink"/>
            <w:noProof/>
          </w:rPr>
          <w:t>Observation 9</w:t>
        </w:r>
        <w:r>
          <w:rPr>
            <w:rFonts w:asciiTheme="minorHAnsi" w:eastAsiaTheme="minorEastAsia" w:hAnsiTheme="minorHAnsi" w:cstheme="minorBidi"/>
            <w:b w:val="0"/>
            <w:noProof/>
            <w:sz w:val="22"/>
            <w:szCs w:val="22"/>
            <w:lang w:val="en-FI" w:eastAsia="en-FI"/>
          </w:rPr>
          <w:tab/>
        </w:r>
        <w:r w:rsidRPr="00212D6B">
          <w:rPr>
            <w:rStyle w:val="Hyperlink"/>
            <w:noProof/>
          </w:rPr>
          <w:t>RSRP measurement reporting for mobility can create high load in the network. Therefore, it is important to control the amount of reporting.</w:t>
        </w:r>
      </w:hyperlink>
    </w:p>
    <w:p w14:paraId="63BF5827" w14:textId="07CA03F1" w:rsidR="00A94250" w:rsidRDefault="00A94250">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42587544" w:history="1">
        <w:r w:rsidRPr="00212D6B">
          <w:rPr>
            <w:rStyle w:val="Hyperlink"/>
            <w:noProof/>
          </w:rPr>
          <w:t>Observation 10</w:t>
        </w:r>
        <w:r>
          <w:rPr>
            <w:rFonts w:asciiTheme="minorHAnsi" w:eastAsiaTheme="minorEastAsia" w:hAnsiTheme="minorHAnsi" w:cstheme="minorBidi"/>
            <w:b w:val="0"/>
            <w:noProof/>
            <w:sz w:val="22"/>
            <w:szCs w:val="22"/>
            <w:lang w:val="en-FI" w:eastAsia="en-FI"/>
          </w:rPr>
          <w:tab/>
        </w:r>
        <w:r w:rsidRPr="00212D6B">
          <w:rPr>
            <w:rStyle w:val="Hyperlink"/>
            <w:noProof/>
          </w:rPr>
          <w:t>TTT and hysteresis control reporting amount when the value for the metric goes back and forth of the threshold value potentially causing entering/leaving of the condition.</w:t>
        </w:r>
      </w:hyperlink>
    </w:p>
    <w:p w14:paraId="3EA5BF84" w14:textId="37CE9B4C" w:rsidR="00A94250" w:rsidRDefault="00A94250">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42587545" w:history="1">
        <w:r w:rsidRPr="00212D6B">
          <w:rPr>
            <w:rStyle w:val="Hyperlink"/>
            <w:noProof/>
          </w:rPr>
          <w:t>Observation 11</w:t>
        </w:r>
        <w:r>
          <w:rPr>
            <w:rFonts w:asciiTheme="minorHAnsi" w:eastAsiaTheme="minorEastAsia" w:hAnsiTheme="minorHAnsi" w:cstheme="minorBidi"/>
            <w:b w:val="0"/>
            <w:noProof/>
            <w:sz w:val="22"/>
            <w:szCs w:val="22"/>
            <w:lang w:val="en-FI" w:eastAsia="en-FI"/>
          </w:rPr>
          <w:tab/>
        </w:r>
        <w:r w:rsidRPr="00212D6B">
          <w:rPr>
            <w:rStyle w:val="Hyperlink"/>
            <w:noProof/>
          </w:rPr>
          <w:t>Parameters reportInterval and reportAmount</w:t>
        </w:r>
        <w:r w:rsidRPr="00212D6B">
          <w:rPr>
            <w:rStyle w:val="Hyperlink"/>
            <w:i/>
            <w:noProof/>
          </w:rPr>
          <w:t xml:space="preserve"> do not</w:t>
        </w:r>
        <w:r w:rsidRPr="00212D6B">
          <w:rPr>
            <w:rStyle w:val="Hyperlink"/>
            <w:noProof/>
          </w:rPr>
          <w:t xml:space="preserve"> affect reporting when the event is triggered due to different cells.</w:t>
        </w:r>
      </w:hyperlink>
    </w:p>
    <w:p w14:paraId="77B0F248" w14:textId="07C10A8F" w:rsidR="00A94250" w:rsidRDefault="00A94250">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42587546" w:history="1">
        <w:r w:rsidRPr="00212D6B">
          <w:rPr>
            <w:rStyle w:val="Hyperlink"/>
            <w:noProof/>
          </w:rPr>
          <w:t>Observation 12</w:t>
        </w:r>
        <w:r>
          <w:rPr>
            <w:rFonts w:asciiTheme="minorHAnsi" w:eastAsiaTheme="minorEastAsia" w:hAnsiTheme="minorHAnsi" w:cstheme="minorBidi"/>
            <w:b w:val="0"/>
            <w:noProof/>
            <w:sz w:val="22"/>
            <w:szCs w:val="22"/>
            <w:lang w:val="en-FI" w:eastAsia="en-FI"/>
          </w:rPr>
          <w:tab/>
        </w:r>
        <w:r w:rsidRPr="00212D6B">
          <w:rPr>
            <w:rStyle w:val="Hyperlink"/>
            <w:noProof/>
          </w:rPr>
          <w:t>When an aerial UE flies or takes off, an event triggers consecutively due to different cells. This may lead to redundant UE measurement reports.</w:t>
        </w:r>
      </w:hyperlink>
    </w:p>
    <w:p w14:paraId="41CFDAE6" w14:textId="5A4BB15C"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2EDBE607" w14:textId="21753EAD" w:rsidR="00A94250"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lastRenderedPageBreak/>
        <w:fldChar w:fldCharType="begin"/>
      </w:r>
      <w:r w:rsidRPr="003A6D33">
        <w:rPr>
          <w:b w:val="0"/>
          <w:bCs/>
        </w:rPr>
        <w:instrText xml:space="preserve"> TOC \n \h \z \t "Proposal" \c </w:instrText>
      </w:r>
      <w:r w:rsidRPr="003A6D33">
        <w:rPr>
          <w:b w:val="0"/>
          <w:bCs/>
        </w:rPr>
        <w:fldChar w:fldCharType="separate"/>
      </w:r>
      <w:hyperlink w:anchor="_Toc142587547" w:history="1">
        <w:r w:rsidR="00A94250" w:rsidRPr="008B19DE">
          <w:rPr>
            <w:rStyle w:val="Hyperlink"/>
            <w:rFonts w:eastAsia="Times New Roman"/>
            <w:noProof/>
          </w:rPr>
          <w:t>Proposal 1</w:t>
        </w:r>
        <w:r w:rsidR="00A94250">
          <w:rPr>
            <w:rFonts w:asciiTheme="minorHAnsi" w:eastAsiaTheme="minorEastAsia" w:hAnsiTheme="minorHAnsi" w:cstheme="minorBidi"/>
            <w:b w:val="0"/>
            <w:noProof/>
            <w:sz w:val="22"/>
            <w:szCs w:val="22"/>
            <w:lang w:val="en-FI" w:eastAsia="en-FI"/>
          </w:rPr>
          <w:tab/>
        </w:r>
        <w:r w:rsidR="00A94250" w:rsidRPr="008B19DE">
          <w:rPr>
            <w:rStyle w:val="Hyperlink"/>
            <w:rFonts w:eastAsia="Times New Roman"/>
            <w:noProof/>
          </w:rPr>
          <w:t>RAN2 to study and specify mechanisms to fulfill requirements on no-transmit zone in ECC Decision (22)07 in the ongoing WI.</w:t>
        </w:r>
      </w:hyperlink>
    </w:p>
    <w:p w14:paraId="451459B5" w14:textId="4ECE151C"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48" w:history="1">
        <w:r w:rsidRPr="008B19DE">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8B19DE">
          <w:rPr>
            <w:rStyle w:val="Hyperlink"/>
            <w:rFonts w:eastAsia="Times New Roman"/>
            <w:noProof/>
          </w:rPr>
          <w:t>RAN2 to specify signalling that allows NTZ-affected cells to bar aerial UEs. FFS UE signaling</w:t>
        </w:r>
      </w:hyperlink>
    </w:p>
    <w:p w14:paraId="38C25350" w14:textId="29980F47"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0" w:history="1">
        <w:r w:rsidRPr="008B19DE">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8B19DE">
          <w:rPr>
            <w:rStyle w:val="Hyperlink"/>
            <w:rFonts w:eastAsia="Times New Roman"/>
            <w:noProof/>
          </w:rPr>
          <w:t xml:space="preserve">The reportOnleave for combined events should have </w:t>
        </w:r>
        <w:r w:rsidRPr="008B19DE">
          <w:rPr>
            <w:rStyle w:val="Hyperlink"/>
            <w:noProof/>
          </w:rPr>
          <w:t>ensures network to provide consisting values</w:t>
        </w:r>
        <w:r w:rsidRPr="008B19DE">
          <w:rPr>
            <w:rStyle w:val="Hyperlink"/>
            <w:rFonts w:eastAsia="Times New Roman"/>
            <w:noProof/>
          </w:rPr>
          <w:t>.</w:t>
        </w:r>
      </w:hyperlink>
    </w:p>
    <w:p w14:paraId="120306BF" w14:textId="0B730B5F"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1" w:history="1">
        <w:r w:rsidRPr="008B19DE">
          <w:rPr>
            <w:rStyle w:val="Hyperlink"/>
            <w:noProof/>
          </w:rPr>
          <w:t>Proposal 4</w:t>
        </w:r>
        <w:r>
          <w:rPr>
            <w:rFonts w:asciiTheme="minorHAnsi" w:eastAsiaTheme="minorEastAsia" w:hAnsiTheme="minorHAnsi" w:cstheme="minorBidi"/>
            <w:b w:val="0"/>
            <w:noProof/>
            <w:sz w:val="22"/>
            <w:szCs w:val="22"/>
            <w:lang w:val="en-FI" w:eastAsia="en-FI"/>
          </w:rPr>
          <w:tab/>
        </w:r>
        <w:r w:rsidRPr="008B19DE">
          <w:rPr>
            <w:rStyle w:val="Hyperlink"/>
            <w:noProof/>
          </w:rPr>
          <w:t>Height dependent A4 threshold can be supported by the combination between event H1 and A4, or combination between event H2 and A4</w:t>
        </w:r>
      </w:hyperlink>
    </w:p>
    <w:p w14:paraId="19268955" w14:textId="16ED9A4E"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2" w:history="1">
        <w:r w:rsidRPr="008B19DE">
          <w:rPr>
            <w:rStyle w:val="Hyperlink"/>
            <w:noProof/>
          </w:rPr>
          <w:t>Proposal 5</w:t>
        </w:r>
        <w:r>
          <w:rPr>
            <w:rFonts w:asciiTheme="minorHAnsi" w:eastAsiaTheme="minorEastAsia" w:hAnsiTheme="minorHAnsi" w:cstheme="minorBidi"/>
            <w:b w:val="0"/>
            <w:noProof/>
            <w:sz w:val="22"/>
            <w:szCs w:val="22"/>
            <w:lang w:val="en-FI" w:eastAsia="en-FI"/>
          </w:rPr>
          <w:tab/>
        </w:r>
        <w:r w:rsidRPr="008B19DE">
          <w:rPr>
            <w:rStyle w:val="Hyperlink"/>
            <w:noProof/>
          </w:rPr>
          <w:t>For height dependent</w:t>
        </w:r>
        <w:r w:rsidRPr="008B19DE">
          <w:rPr>
            <w:rStyle w:val="Hyperlink"/>
            <w:i/>
            <w:iCs/>
            <w:noProof/>
          </w:rPr>
          <w:t xml:space="preserve"> numberoftriggeringcells</w:t>
        </w:r>
        <w:r w:rsidRPr="008B19DE">
          <w:rPr>
            <w:rStyle w:val="Hyperlink"/>
            <w:noProof/>
          </w:rPr>
          <w:t>, RAN2 to discuss how to handle the parameter update during height switching</w:t>
        </w:r>
      </w:hyperlink>
    </w:p>
    <w:p w14:paraId="766F4157" w14:textId="66B9F30A"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3" w:history="1">
        <w:r w:rsidRPr="008B19DE">
          <w:rPr>
            <w:rStyle w:val="Hyperlink"/>
            <w:noProof/>
          </w:rPr>
          <w:t>Proposal 6</w:t>
        </w:r>
        <w:r>
          <w:rPr>
            <w:rFonts w:asciiTheme="minorHAnsi" w:eastAsiaTheme="minorEastAsia" w:hAnsiTheme="minorHAnsi" w:cstheme="minorBidi"/>
            <w:b w:val="0"/>
            <w:noProof/>
            <w:sz w:val="22"/>
            <w:szCs w:val="22"/>
            <w:lang w:val="en-FI" w:eastAsia="en-FI"/>
          </w:rPr>
          <w:tab/>
        </w:r>
        <w:r w:rsidRPr="008B19DE">
          <w:rPr>
            <w:rStyle w:val="Hyperlink"/>
            <w:noProof/>
          </w:rPr>
          <w:t>Support height dependent configuration for at least the following parameters: report interval, report amount and maximum number of non-serving cells</w:t>
        </w:r>
      </w:hyperlink>
    </w:p>
    <w:p w14:paraId="252AA10A" w14:textId="4E930C63"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4" w:history="1">
        <w:r w:rsidRPr="008B19DE">
          <w:rPr>
            <w:rStyle w:val="Hyperlink"/>
            <w:rFonts w:eastAsia="Times New Roman"/>
            <w:noProof/>
          </w:rPr>
          <w:t>Proposal 7</w:t>
        </w:r>
        <w:r>
          <w:rPr>
            <w:rFonts w:asciiTheme="minorHAnsi" w:eastAsiaTheme="minorEastAsia" w:hAnsiTheme="minorHAnsi" w:cstheme="minorBidi"/>
            <w:b w:val="0"/>
            <w:noProof/>
            <w:sz w:val="22"/>
            <w:szCs w:val="22"/>
            <w:lang w:val="en-FI" w:eastAsia="en-FI"/>
          </w:rPr>
          <w:tab/>
        </w:r>
        <w:r w:rsidRPr="008B19DE">
          <w:rPr>
            <w:rStyle w:val="Hyperlink"/>
            <w:noProof/>
          </w:rPr>
          <w:t>Introduce a prohibit timer in reporting configuration for the purpose of mobility control: UE is prevented from triggering the measurement report for a configurable time after the event is first triggered and first report is sent.</w:t>
        </w:r>
      </w:hyperlink>
    </w:p>
    <w:p w14:paraId="6F70CEFA" w14:textId="455C7151" w:rsidR="00A94250" w:rsidRDefault="00A9425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555" w:history="1">
        <w:r w:rsidRPr="008B19DE">
          <w:rPr>
            <w:rStyle w:val="Hyperlink"/>
            <w:rFonts w:eastAsia="Times New Roman"/>
            <w:noProof/>
          </w:rPr>
          <w:t>Proposal 8</w:t>
        </w:r>
        <w:r>
          <w:rPr>
            <w:rFonts w:asciiTheme="minorHAnsi" w:eastAsiaTheme="minorEastAsia" w:hAnsiTheme="minorHAnsi" w:cstheme="minorBidi"/>
            <w:b w:val="0"/>
            <w:noProof/>
            <w:sz w:val="22"/>
            <w:szCs w:val="22"/>
            <w:lang w:val="en-FI" w:eastAsia="en-FI"/>
          </w:rPr>
          <w:tab/>
        </w:r>
        <w:r w:rsidRPr="008B19DE">
          <w:rPr>
            <w:rStyle w:val="Hyperlink"/>
            <w:rFonts w:eastAsia="Times New Roman"/>
            <w:noProof/>
          </w:rPr>
          <w:t>RAN2 to work on signalling for location reporting and consider the decision from SA2 and SA3 on the topic of user consent-based location report once available.</w:t>
        </w:r>
      </w:hyperlink>
    </w:p>
    <w:p w14:paraId="0973D097" w14:textId="55C13E8F" w:rsidR="00F507D1" w:rsidRPr="00CE0424" w:rsidRDefault="00615114" w:rsidP="00615114">
      <w:pPr>
        <w:pStyle w:val="Heading1"/>
      </w:pPr>
      <w:r w:rsidRPr="003A6D33">
        <w:rPr>
          <w:b/>
          <w:bCs/>
          <w:lang w:val="en-US"/>
        </w:rPr>
        <w:fldChar w:fldCharType="end"/>
      </w:r>
      <w:r w:rsidR="00F507D1" w:rsidRPr="00CE0424">
        <w:t>References</w:t>
      </w:r>
    </w:p>
    <w:p w14:paraId="5CC2AC40" w14:textId="7E7523D6" w:rsidR="00B52410" w:rsidRPr="00DC680A" w:rsidRDefault="003D352C" w:rsidP="005F3954">
      <w:pPr>
        <w:pStyle w:val="Reference"/>
        <w:rPr>
          <w:rFonts w:eastAsia="Batang" w:cs="Arial"/>
          <w:bCs/>
        </w:rPr>
      </w:pPr>
      <w:bookmarkStart w:id="58" w:name="_Ref509923152"/>
      <w:bookmarkStart w:id="59" w:name="_Ref110426397"/>
      <w:bookmarkStart w:id="60" w:name="_Ref505610477"/>
      <w:bookmarkStart w:id="61" w:name="_Ref174151459"/>
      <w:bookmarkStart w:id="62" w:name="_Ref189809556"/>
      <w:r w:rsidRPr="00DC680A">
        <w:rPr>
          <w:rFonts w:eastAsia="Batang" w:cs="Arial"/>
          <w:bCs/>
        </w:rPr>
        <w:t>RP-1</w:t>
      </w:r>
      <w:r w:rsidR="00320E4E" w:rsidRPr="00DC680A">
        <w:rPr>
          <w:rFonts w:eastAsia="Batang" w:cs="Arial"/>
          <w:bCs/>
        </w:rPr>
        <w:t>23600</w:t>
      </w:r>
      <w:r w:rsidR="00200924" w:rsidRPr="00DC680A">
        <w:rPr>
          <w:rFonts w:eastAsia="Batang" w:cs="Arial"/>
          <w:bCs/>
        </w:rPr>
        <w:t xml:space="preserve">, </w:t>
      </w:r>
      <w:r w:rsidR="00DF4B31" w:rsidRPr="00DF4B31">
        <w:rPr>
          <w:rFonts w:eastAsia="Batang" w:cs="Arial"/>
          <w:bCs/>
        </w:rPr>
        <w:t>New WID on NR support for UAV (Uncrewed Aerial Vehicles)</w:t>
      </w:r>
      <w:r w:rsidR="00A748E8" w:rsidRPr="00DC680A">
        <w:rPr>
          <w:rFonts w:eastAsia="Batang" w:cs="Arial"/>
          <w:bCs/>
        </w:rPr>
        <w:t xml:space="preserve">, </w:t>
      </w:r>
      <w:r w:rsidRPr="00DC680A">
        <w:rPr>
          <w:rFonts w:eastAsia="Batang" w:cs="Arial"/>
          <w:bCs/>
        </w:rPr>
        <w:t>RAN</w:t>
      </w:r>
      <w:r w:rsidR="00A748E8" w:rsidRPr="00DC680A">
        <w:rPr>
          <w:rFonts w:eastAsia="Batang" w:cs="Arial"/>
          <w:bCs/>
        </w:rPr>
        <w:t>#</w:t>
      </w:r>
      <w:r w:rsidR="00DF4B31" w:rsidRPr="00DC680A">
        <w:rPr>
          <w:rFonts w:eastAsia="Batang" w:cs="Arial"/>
          <w:bCs/>
        </w:rPr>
        <w:t>94</w:t>
      </w:r>
      <w:r w:rsidRPr="00DC680A">
        <w:rPr>
          <w:rFonts w:eastAsia="Batang" w:cs="Arial"/>
          <w:bCs/>
        </w:rPr>
        <w:t xml:space="preserve">, </w:t>
      </w:r>
      <w:r w:rsidR="00A748E8" w:rsidRPr="00DC680A">
        <w:rPr>
          <w:rFonts w:eastAsia="Batang" w:cs="Arial"/>
          <w:bCs/>
        </w:rPr>
        <w:t>Dec 20</w:t>
      </w:r>
      <w:bookmarkEnd w:id="58"/>
      <w:r w:rsidR="00914E5A" w:rsidRPr="00DC680A">
        <w:rPr>
          <w:rFonts w:eastAsia="Batang" w:cs="Arial"/>
          <w:bCs/>
        </w:rPr>
        <w:t>21</w:t>
      </w:r>
      <w:bookmarkEnd w:id="59"/>
    </w:p>
    <w:p w14:paraId="65CC5ABA" w14:textId="309632AC" w:rsidR="00F07FF9" w:rsidRPr="00DC680A" w:rsidRDefault="00F07FF9" w:rsidP="00F07FF9">
      <w:pPr>
        <w:pStyle w:val="Reference"/>
        <w:rPr>
          <w:rFonts w:eastAsia="Batang" w:cs="Arial"/>
          <w:bCs/>
        </w:rPr>
      </w:pPr>
      <w:bookmarkStart w:id="63" w:name="_Ref510710834"/>
      <w:bookmarkStart w:id="64" w:name="_Ref115074639"/>
      <w:bookmarkEnd w:id="60"/>
      <w:bookmarkEnd w:id="61"/>
      <w:bookmarkEnd w:id="62"/>
      <w:r w:rsidRPr="00DC680A">
        <w:rPr>
          <w:rFonts w:eastAsia="Batang" w:cs="Arial"/>
          <w:bCs/>
        </w:rPr>
        <w:t>TR 36.</w:t>
      </w:r>
      <w:r w:rsidR="00E77EC9" w:rsidRPr="00DC680A">
        <w:rPr>
          <w:rFonts w:eastAsia="Batang" w:cs="Arial"/>
          <w:bCs/>
        </w:rPr>
        <w:t>331</w:t>
      </w:r>
      <w:r w:rsidRPr="00DC680A">
        <w:rPr>
          <w:rFonts w:eastAsia="Batang" w:cs="Arial"/>
          <w:bCs/>
        </w:rPr>
        <w:t xml:space="preserve">, </w:t>
      </w:r>
      <w:bookmarkEnd w:id="63"/>
      <w:r w:rsidR="00BD5B12" w:rsidRPr="00DC680A">
        <w:rPr>
          <w:rFonts w:eastAsia="Batang" w:cs="Arial"/>
          <w:bCs/>
        </w:rPr>
        <w:t>Evolved Universal Terrestrial Radio Access (E-UTRA); Radio Resource Control (RRC); Protocol specification</w:t>
      </w:r>
      <w:bookmarkEnd w:id="64"/>
    </w:p>
    <w:p w14:paraId="291320B9" w14:textId="77777777" w:rsidR="00FC6F85" w:rsidRPr="00DC680A" w:rsidRDefault="003325EE" w:rsidP="007071CE">
      <w:pPr>
        <w:pStyle w:val="Reference"/>
        <w:rPr>
          <w:rFonts w:eastAsia="Batang" w:cs="Arial"/>
          <w:bCs/>
        </w:rPr>
      </w:pPr>
      <w:bookmarkStart w:id="65" w:name="_Ref115083204"/>
      <w:r w:rsidRPr="00DC680A">
        <w:rPr>
          <w:rFonts w:eastAsia="Batang" w:cs="Arial"/>
          <w:bCs/>
        </w:rPr>
        <w:t>TS 38.</w:t>
      </w:r>
      <w:r w:rsidR="00CF7E66" w:rsidRPr="00DC680A">
        <w:rPr>
          <w:rFonts w:eastAsia="Batang" w:cs="Arial"/>
          <w:bCs/>
        </w:rPr>
        <w:t>331</w:t>
      </w:r>
      <w:r w:rsidRPr="00DC680A">
        <w:rPr>
          <w:rFonts w:eastAsia="Batang" w:cs="Arial"/>
          <w:bCs/>
        </w:rPr>
        <w:t xml:space="preserve">, </w:t>
      </w:r>
      <w:r w:rsidR="00B25BFC" w:rsidRPr="00DC680A">
        <w:rPr>
          <w:rFonts w:eastAsia="Batang" w:cs="Arial"/>
          <w:bCs/>
        </w:rPr>
        <w:t xml:space="preserve">NR; </w:t>
      </w:r>
      <w:r w:rsidR="003C5D3D" w:rsidRPr="00DC680A">
        <w:rPr>
          <w:rFonts w:eastAsia="Batang" w:cs="Arial"/>
          <w:bCs/>
        </w:rPr>
        <w:t>Radio Resource Control (RRC) protocol specification</w:t>
      </w:r>
      <w:bookmarkEnd w:id="65"/>
      <w:r w:rsidR="007071CE" w:rsidRPr="00DC680A">
        <w:rPr>
          <w:rFonts w:eastAsia="Batang" w:cs="Arial"/>
          <w:bCs/>
        </w:rPr>
        <w:t xml:space="preserve"> </w:t>
      </w:r>
    </w:p>
    <w:p w14:paraId="5893C50D" w14:textId="181CEF40" w:rsidR="007071CE" w:rsidRPr="00DC680A" w:rsidRDefault="007071CE" w:rsidP="007071CE">
      <w:pPr>
        <w:pStyle w:val="Reference"/>
        <w:rPr>
          <w:rFonts w:eastAsia="Batang" w:cs="Arial"/>
          <w:bCs/>
        </w:rPr>
      </w:pPr>
      <w:bookmarkStart w:id="66" w:name="_Ref118301175"/>
      <w:r w:rsidRPr="00DC680A">
        <w:rPr>
          <w:rFonts w:eastAsia="Batang" w:cs="Arial"/>
          <w:bCs/>
        </w:rPr>
        <w:t>TR 36.777, Enhanced LTE support for aerial vehicles</w:t>
      </w:r>
      <w:bookmarkEnd w:id="66"/>
    </w:p>
    <w:p w14:paraId="37FB79BC" w14:textId="77777777" w:rsidR="007071CE" w:rsidRPr="00DC680A" w:rsidRDefault="007071CE" w:rsidP="007071CE">
      <w:pPr>
        <w:pStyle w:val="Reference"/>
        <w:rPr>
          <w:rFonts w:eastAsia="Batang" w:cs="Arial"/>
          <w:bCs/>
        </w:rPr>
      </w:pPr>
      <w:bookmarkStart w:id="67" w:name="_Ref110426353"/>
      <w:r w:rsidRPr="00DC680A">
        <w:rPr>
          <w:rFonts w:eastAsia="Batang" w:cs="Arial"/>
          <w:bCs/>
        </w:rPr>
        <w:t>R2-1807257, Controlling the amount of measurement reporting, Ericsson, RAN2#102, Korea, May 2018</w:t>
      </w:r>
      <w:bookmarkEnd w:id="67"/>
    </w:p>
    <w:p w14:paraId="4579FE5C" w14:textId="77777777" w:rsidR="007071CE" w:rsidRPr="00DC680A" w:rsidRDefault="007071CE" w:rsidP="007071CE">
      <w:pPr>
        <w:pStyle w:val="Reference"/>
        <w:rPr>
          <w:rFonts w:eastAsia="Batang" w:cs="Arial"/>
          <w:bCs/>
        </w:rPr>
      </w:pPr>
      <w:bookmarkStart w:id="68" w:name="_Ref109830946"/>
      <w:bookmarkStart w:id="69" w:name="_Ref110502102"/>
      <w:bookmarkStart w:id="70" w:name="_Ref510740324"/>
      <w:r w:rsidRPr="00DC680A">
        <w:rPr>
          <w:rFonts w:eastAsia="Batang" w:cs="Arial"/>
          <w:bCs/>
        </w:rPr>
        <w:t xml:space="preserve">TR 23.754, </w:t>
      </w:r>
      <w:bookmarkEnd w:id="68"/>
      <w:r w:rsidRPr="00DC680A">
        <w:rPr>
          <w:rFonts w:eastAsia="Batang" w:cs="Arial"/>
          <w:bCs/>
        </w:rPr>
        <w:t>Study on supporting Unmanned Aerial Systems (UAS) connectivity, Identification and tracking</w:t>
      </w:r>
      <w:bookmarkEnd w:id="69"/>
      <w:bookmarkEnd w:id="70"/>
    </w:p>
    <w:p w14:paraId="741FD9D3" w14:textId="77777777" w:rsidR="007071CE" w:rsidRPr="00DC680A" w:rsidRDefault="007071CE" w:rsidP="007071CE">
      <w:pPr>
        <w:pStyle w:val="Reference"/>
        <w:rPr>
          <w:rFonts w:eastAsia="Batang" w:cs="Arial"/>
          <w:bCs/>
        </w:rPr>
      </w:pPr>
      <w:bookmarkStart w:id="71" w:name="_Ref110868854"/>
      <w:r w:rsidRPr="00DC680A">
        <w:rPr>
          <w:rFonts w:eastAsia="Batang" w:cs="Arial"/>
          <w:bCs/>
        </w:rPr>
        <w:t>RWS-210189, New WID on Enhanced NR Support for Aerial Vehicles, Ericsson</w:t>
      </w:r>
      <w:bookmarkEnd w:id="71"/>
      <w:r w:rsidRPr="00DC680A">
        <w:rPr>
          <w:rFonts w:eastAsia="Batang" w:cs="Arial"/>
          <w:bCs/>
        </w:rPr>
        <w:t xml:space="preserve">   </w:t>
      </w:r>
    </w:p>
    <w:p w14:paraId="04F45BA8" w14:textId="77777777" w:rsidR="007071CE" w:rsidRPr="00DC680A" w:rsidRDefault="007071CE" w:rsidP="007071CE">
      <w:pPr>
        <w:pStyle w:val="Reference"/>
        <w:rPr>
          <w:rFonts w:eastAsia="Batang" w:cs="Arial"/>
          <w:bCs/>
        </w:rPr>
      </w:pPr>
      <w:bookmarkStart w:id="72" w:name="_Ref110870412"/>
      <w:r w:rsidRPr="00DC680A">
        <w:rPr>
          <w:rFonts w:eastAsia="Batang" w:cs="Arial"/>
          <w:bCs/>
        </w:rPr>
        <w:t>R2-1807257, Controlling the amount of measurement reporting, Ericsson</w:t>
      </w:r>
      <w:bookmarkEnd w:id="72"/>
    </w:p>
    <w:p w14:paraId="2D6CF401" w14:textId="77777777" w:rsidR="007071CE" w:rsidRPr="00DC680A" w:rsidRDefault="007071CE" w:rsidP="007071CE">
      <w:pPr>
        <w:pStyle w:val="Reference"/>
        <w:rPr>
          <w:rFonts w:eastAsia="Batang" w:cs="Arial"/>
          <w:bCs/>
        </w:rPr>
      </w:pPr>
      <w:bookmarkStart w:id="73" w:name="_Ref110870596"/>
      <w:r w:rsidRPr="00DC680A">
        <w:rPr>
          <w:rFonts w:eastAsia="Batang" w:cs="Arial"/>
          <w:bCs/>
        </w:rPr>
        <w:t>R2-1814762, Remaining aspects of measurement reporting, Ericsson, NTT Docomo, Nokia, Nokia Shanghai Bell</w:t>
      </w:r>
      <w:bookmarkEnd w:id="73"/>
    </w:p>
    <w:p w14:paraId="47D99824" w14:textId="77777777" w:rsidR="007071CE" w:rsidRPr="00DC680A" w:rsidRDefault="007071CE" w:rsidP="007071CE">
      <w:pPr>
        <w:pStyle w:val="Reference"/>
        <w:rPr>
          <w:rFonts w:eastAsia="Batang" w:cs="Arial"/>
          <w:bCs/>
        </w:rPr>
      </w:pPr>
      <w:bookmarkStart w:id="74" w:name="OLE_LINK8"/>
      <w:bookmarkStart w:id="75" w:name="_Ref525223252"/>
      <w:r w:rsidRPr="00DC680A">
        <w:rPr>
          <w:rFonts w:eastAsia="Batang" w:cs="Arial"/>
          <w:bCs/>
        </w:rPr>
        <w:t>R2-1814760</w:t>
      </w:r>
      <w:bookmarkEnd w:id="74"/>
      <w:r w:rsidRPr="00DC680A">
        <w:rPr>
          <w:rFonts w:eastAsia="Batang" w:cs="Arial"/>
          <w:bCs/>
        </w:rPr>
        <w:t>, Prohibit timer for measurement reporting, Ericsson, NTT Docomo, Nokia, Nokia Shanghai Bell, RAN2#103bis, Chengdu, China, 8th - 12th October 2018</w:t>
      </w:r>
      <w:bookmarkEnd w:id="75"/>
    </w:p>
    <w:p w14:paraId="01AE6563" w14:textId="77777777" w:rsidR="007071CE" w:rsidRPr="00DC680A" w:rsidRDefault="007071CE" w:rsidP="007071CE">
      <w:pPr>
        <w:pStyle w:val="Reference"/>
        <w:rPr>
          <w:rFonts w:eastAsia="Batang" w:cs="Arial"/>
          <w:bCs/>
        </w:rPr>
      </w:pPr>
      <w:bookmarkStart w:id="76" w:name="_Ref525826756"/>
      <w:r w:rsidRPr="00DC680A">
        <w:rPr>
          <w:rFonts w:eastAsia="Batang" w:cs="Arial"/>
          <w:bCs/>
        </w:rPr>
        <w:t>R2-1814754, Introduction of capability for timer t3xx for Rel-15 Aerial W, Ericsson, RAN2#103bis, Chengdu, China, 8th - 12th October 2018</w:t>
      </w:r>
      <w:bookmarkEnd w:id="76"/>
    </w:p>
    <w:p w14:paraId="1E358C25" w14:textId="42360887" w:rsidR="00347565" w:rsidRDefault="00347565" w:rsidP="00347565">
      <w:pPr>
        <w:pStyle w:val="Reference"/>
        <w:rPr>
          <w:rFonts w:eastAsia="Batang" w:cs="Arial"/>
          <w:bCs/>
        </w:rPr>
      </w:pPr>
      <w:bookmarkStart w:id="77" w:name="OLE_LINK6"/>
      <w:bookmarkStart w:id="78" w:name="_Ref127373654"/>
      <w:r w:rsidRPr="00DC680A">
        <w:rPr>
          <w:rFonts w:eastAsia="Batang" w:cs="Arial"/>
          <w:bCs/>
        </w:rPr>
        <w:t>ECC report 348</w:t>
      </w:r>
      <w:bookmarkEnd w:id="77"/>
      <w:r w:rsidRPr="00DC680A">
        <w:rPr>
          <w:rFonts w:eastAsia="Batang" w:cs="Arial"/>
          <w:bCs/>
        </w:rPr>
        <w:t>, Usage of aerial UE in 1.8 GHz, 2GHz and 2.6 GHz frequency bands with MHCN AAS base stations, Nov. 2022</w:t>
      </w:r>
      <w:bookmarkEnd w:id="78"/>
    </w:p>
    <w:p w14:paraId="2DF1F0F8" w14:textId="3E646F47" w:rsidR="007500E3" w:rsidRPr="00DC680A" w:rsidRDefault="007500E3" w:rsidP="00347565">
      <w:pPr>
        <w:pStyle w:val="Reference"/>
        <w:rPr>
          <w:rFonts w:eastAsia="Batang" w:cs="Arial"/>
          <w:bCs/>
        </w:rPr>
      </w:pPr>
      <w:bookmarkStart w:id="79" w:name="_Ref140833618"/>
      <w:r>
        <w:rPr>
          <w:rFonts w:cs="Arial"/>
          <w:sz w:val="22"/>
          <w:szCs w:val="22"/>
        </w:rPr>
        <w:t xml:space="preserve">RP-231485 </w:t>
      </w:r>
      <w:r w:rsidRPr="007500E3">
        <w:rPr>
          <w:rFonts w:cs="Arial"/>
          <w:sz w:val="22"/>
          <w:szCs w:val="22"/>
        </w:rPr>
        <w:t>LS on support of no-transmit zones for UAVs</w:t>
      </w:r>
      <w:r>
        <w:rPr>
          <w:rFonts w:cs="Arial"/>
          <w:sz w:val="22"/>
          <w:szCs w:val="22"/>
        </w:rPr>
        <w:t xml:space="preserve"> RAN to SA2 cc SA</w:t>
      </w:r>
      <w:bookmarkEnd w:id="79"/>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Mattias" w:date="2023-08-04T13:10:00Z" w:initials="M">
    <w:p w14:paraId="4A9742DA" w14:textId="77777777" w:rsidR="001570A4" w:rsidRDefault="001570A4" w:rsidP="00BF1D95">
      <w:pPr>
        <w:pStyle w:val="CommentText"/>
        <w:jc w:val="left"/>
      </w:pPr>
      <w:r>
        <w:rPr>
          <w:rStyle w:val="CommentReference"/>
        </w:rPr>
        <w:annotationRef/>
      </w:r>
      <w:r>
        <w:t>Should we not keep the "bit in SIB"-approach on the table?</w:t>
      </w:r>
    </w:p>
  </w:comment>
  <w:comment w:id="21" w:author="Ericsson - Tuomas" w:date="2023-08-04T15:23:00Z" w:initials="Eri">
    <w:p w14:paraId="05B79F1A" w14:textId="495C7978" w:rsidR="00FA56B4" w:rsidRDefault="00FA56B4">
      <w:pPr>
        <w:pStyle w:val="CommentText"/>
      </w:pPr>
      <w:r>
        <w:rPr>
          <w:rStyle w:val="CommentReference"/>
        </w:rPr>
        <w:annotationRef/>
      </w:r>
      <w:r>
        <w:t xml:space="preserve">Was the bit in SIB about not letting a drone UE fly in a NTZ, i.e. where the bit is transmitted? On that solution I actually have a differening opinion, i.e. I think it is not a very good idea and it is too granular for drones. </w:t>
      </w:r>
    </w:p>
  </w:comment>
  <w:comment w:id="22" w:author="Hieu Do" w:date="2023-08-06T16:23:00Z" w:initials="HD">
    <w:p w14:paraId="02193807" w14:textId="77777777" w:rsidR="006B746F" w:rsidRDefault="006B746F" w:rsidP="00E90638">
      <w:pPr>
        <w:pStyle w:val="CommentText"/>
        <w:jc w:val="left"/>
      </w:pPr>
      <w:r>
        <w:rPr>
          <w:rStyle w:val="CommentReference"/>
        </w:rPr>
        <w:annotationRef/>
      </w:r>
      <w:r>
        <w:t>I have revised the section to align with our RAN#100 paper. We present both approaches (with different granularities) but propose to focus on the cell-barring approach for Rel-18. We can always bring back the other solution at any time since we had proposed it in previous RAN2 papers and keep it as an observation here.</w:t>
      </w:r>
    </w:p>
  </w:comment>
  <w:comment w:id="23" w:author="L1param R1-230671 preRAN2#123" w:date="2023-08-07T10:07:00Z" w:initials="HLM">
    <w:p w14:paraId="097759E1" w14:textId="2B903009" w:rsidR="00830C08" w:rsidRDefault="00830C08">
      <w:pPr>
        <w:pStyle w:val="CommentText"/>
      </w:pPr>
      <w:r>
        <w:rPr>
          <w:rStyle w:val="CommentReference"/>
        </w:rPr>
        <w:annotationRef/>
      </w:r>
      <w:r>
        <w:t>To discuss if we keep both options or elabprate preferenc more specifically, e.g. proprose one option directly</w:t>
      </w:r>
    </w:p>
  </w:comment>
  <w:comment w:id="24" w:author="L1param R1-230671 preRAN2#123" w:date="2023-08-08T14:40:00Z" w:initials="HLM">
    <w:p w14:paraId="6F55A7DB" w14:textId="0211D91A" w:rsidR="004F04B9" w:rsidRDefault="004F04B9">
      <w:pPr>
        <w:pStyle w:val="CommentText"/>
      </w:pPr>
      <w:r>
        <w:rPr>
          <w:rStyle w:val="CommentReference"/>
        </w:rPr>
        <w:annotationRef/>
      </w:r>
      <w:r>
        <w:t>I added FFS for the uE signaling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742DA" w15:done="0"/>
  <w15:commentEx w15:paraId="05B79F1A" w15:paraIdParent="4A9742DA" w15:done="0"/>
  <w15:commentEx w15:paraId="02193807" w15:paraIdParent="4A9742DA" w15:done="0"/>
  <w15:commentEx w15:paraId="097759E1" w15:paraIdParent="4A9742DA" w15:done="0"/>
  <w15:commentEx w15:paraId="6F55A7DB" w15:paraIdParent="4A974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77755" w16cex:dateUtc="2023-08-04T11:10:00Z"/>
  <w16cex:commentExtensible w16cex:durableId="28779681" w16cex:dateUtc="2023-08-04T12:23:00Z"/>
  <w16cex:commentExtensible w16cex:durableId="287A479D" w16cex:dateUtc="2023-08-06T14:23:00Z"/>
  <w16cex:commentExtensible w16cex:durableId="287B40EA" w16cex:dateUtc="2023-08-07T07:07:00Z"/>
  <w16cex:commentExtensible w16cex:durableId="287CD276" w16cex:dateUtc="2023-08-08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742DA" w16cid:durableId="28777755"/>
  <w16cid:commentId w16cid:paraId="05B79F1A" w16cid:durableId="28779681"/>
  <w16cid:commentId w16cid:paraId="02193807" w16cid:durableId="287A479D"/>
  <w16cid:commentId w16cid:paraId="097759E1" w16cid:durableId="287B40EA"/>
  <w16cid:commentId w16cid:paraId="6F55A7DB" w16cid:durableId="287CD2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7902" w14:textId="77777777" w:rsidR="00384A2A" w:rsidRDefault="00384A2A">
      <w:r>
        <w:separator/>
      </w:r>
    </w:p>
  </w:endnote>
  <w:endnote w:type="continuationSeparator" w:id="0">
    <w:p w14:paraId="30F219E3" w14:textId="77777777" w:rsidR="00384A2A" w:rsidRDefault="00384A2A">
      <w:r>
        <w:continuationSeparator/>
      </w:r>
    </w:p>
  </w:endnote>
  <w:endnote w:type="continuationNotice" w:id="1">
    <w:p w14:paraId="42448182" w14:textId="77777777" w:rsidR="00384A2A" w:rsidRDefault="00384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6DAC0" w14:textId="77777777" w:rsidR="00384A2A" w:rsidRDefault="00384A2A">
      <w:r>
        <w:separator/>
      </w:r>
    </w:p>
  </w:footnote>
  <w:footnote w:type="continuationSeparator" w:id="0">
    <w:p w14:paraId="73DB9D9A" w14:textId="77777777" w:rsidR="00384A2A" w:rsidRDefault="00384A2A">
      <w:r>
        <w:continuationSeparator/>
      </w:r>
    </w:p>
  </w:footnote>
  <w:footnote w:type="continuationNotice" w:id="1">
    <w:p w14:paraId="0CEDAA0B" w14:textId="77777777" w:rsidR="00384A2A" w:rsidRDefault="00384A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8"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0"/>
  </w:num>
  <w:num w:numId="2" w16cid:durableId="2007173614">
    <w:abstractNumId w:val="13"/>
  </w:num>
  <w:num w:numId="3" w16cid:durableId="364183904">
    <w:abstractNumId w:val="7"/>
  </w:num>
  <w:num w:numId="4" w16cid:durableId="1666976476">
    <w:abstractNumId w:val="8"/>
  </w:num>
  <w:num w:numId="5" w16cid:durableId="1407999183">
    <w:abstractNumId w:val="4"/>
  </w:num>
  <w:num w:numId="6" w16cid:durableId="965812426">
    <w:abstractNumId w:val="11"/>
  </w:num>
  <w:num w:numId="7" w16cid:durableId="312027794">
    <w:abstractNumId w:val="16"/>
  </w:num>
  <w:num w:numId="8" w16cid:durableId="1384477142">
    <w:abstractNumId w:val="5"/>
  </w:num>
  <w:num w:numId="9" w16cid:durableId="1556159113">
    <w:abstractNumId w:val="14"/>
  </w:num>
  <w:num w:numId="10" w16cid:durableId="708649350">
    <w:abstractNumId w:val="19"/>
  </w:num>
  <w:num w:numId="11" w16cid:durableId="505361976">
    <w:abstractNumId w:val="15"/>
  </w:num>
  <w:num w:numId="12" w16cid:durableId="1747612304">
    <w:abstractNumId w:val="22"/>
  </w:num>
  <w:num w:numId="13" w16cid:durableId="370492790">
    <w:abstractNumId w:val="20"/>
  </w:num>
  <w:num w:numId="14" w16cid:durableId="1033728520">
    <w:abstractNumId w:val="1"/>
  </w:num>
  <w:num w:numId="15" w16cid:durableId="140268876">
    <w:abstractNumId w:val="17"/>
  </w:num>
  <w:num w:numId="16" w16cid:durableId="785926230">
    <w:abstractNumId w:val="2"/>
  </w:num>
  <w:num w:numId="17" w16cid:durableId="132337125">
    <w:abstractNumId w:val="6"/>
  </w:num>
  <w:num w:numId="18" w16cid:durableId="1168786871">
    <w:abstractNumId w:val="14"/>
  </w:num>
  <w:num w:numId="19" w16cid:durableId="1385174953">
    <w:abstractNumId w:val="14"/>
  </w:num>
  <w:num w:numId="20" w16cid:durableId="2441035">
    <w:abstractNumId w:val="10"/>
  </w:num>
  <w:num w:numId="21" w16cid:durableId="1659647307">
    <w:abstractNumId w:val="9"/>
  </w:num>
  <w:num w:numId="22" w16cid:durableId="915551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3"/>
  </w:num>
  <w:num w:numId="24" w16cid:durableId="1026366195">
    <w:abstractNumId w:val="18"/>
  </w:num>
  <w:num w:numId="25" w16cid:durableId="1279990922">
    <w:abstractNumId w:val="21"/>
  </w:num>
  <w:num w:numId="26" w16cid:durableId="1408844212">
    <w:abstractNumId w:val="14"/>
  </w:num>
  <w:num w:numId="27" w16cid:durableId="600993536">
    <w:abstractNumId w:val="12"/>
  </w:num>
  <w:num w:numId="28" w16cid:durableId="1772234921">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as">
    <w15:presenceInfo w15:providerId="None" w15:userId="Mattias"/>
  </w15:person>
  <w15:person w15:author="Ericsson - Tuomas">
    <w15:presenceInfo w15:providerId="None" w15:userId="Ericsson - Tuomas"/>
  </w15:person>
  <w15:person w15:author="Hieu Do">
    <w15:presenceInfo w15:providerId="AD" w15:userId="S::hieu.do@ericsson.com::c0376ba2-18db-4510-9dac-578e49077c1e"/>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E1A"/>
    <w:rsid w:val="000662A7"/>
    <w:rsid w:val="000663BC"/>
    <w:rsid w:val="000663CB"/>
    <w:rsid w:val="000671E2"/>
    <w:rsid w:val="00070A3F"/>
    <w:rsid w:val="00071B19"/>
    <w:rsid w:val="00072469"/>
    <w:rsid w:val="00073487"/>
    <w:rsid w:val="000736AE"/>
    <w:rsid w:val="0007400B"/>
    <w:rsid w:val="0007611C"/>
    <w:rsid w:val="00076F4B"/>
    <w:rsid w:val="0007758A"/>
    <w:rsid w:val="00077941"/>
    <w:rsid w:val="00077D24"/>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5C08"/>
    <w:rsid w:val="000860FE"/>
    <w:rsid w:val="00086162"/>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6E8A"/>
    <w:rsid w:val="00097795"/>
    <w:rsid w:val="000A12C4"/>
    <w:rsid w:val="000A1553"/>
    <w:rsid w:val="000A1621"/>
    <w:rsid w:val="000A1819"/>
    <w:rsid w:val="000A18FF"/>
    <w:rsid w:val="000A1B7B"/>
    <w:rsid w:val="000A2D46"/>
    <w:rsid w:val="000A3E44"/>
    <w:rsid w:val="000A4750"/>
    <w:rsid w:val="000A4F84"/>
    <w:rsid w:val="000A5489"/>
    <w:rsid w:val="000A56F2"/>
    <w:rsid w:val="000A5763"/>
    <w:rsid w:val="000A5FB1"/>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E92"/>
    <w:rsid w:val="000E1FB2"/>
    <w:rsid w:val="000E2247"/>
    <w:rsid w:val="000E2888"/>
    <w:rsid w:val="000E2A18"/>
    <w:rsid w:val="000E36E3"/>
    <w:rsid w:val="000E3A9F"/>
    <w:rsid w:val="000E4030"/>
    <w:rsid w:val="000E4829"/>
    <w:rsid w:val="000E4938"/>
    <w:rsid w:val="000E4BDC"/>
    <w:rsid w:val="000E5C7B"/>
    <w:rsid w:val="000E5F03"/>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3C3"/>
    <w:rsid w:val="00107EA2"/>
    <w:rsid w:val="0011007A"/>
    <w:rsid w:val="0011098E"/>
    <w:rsid w:val="00110F4C"/>
    <w:rsid w:val="0011134E"/>
    <w:rsid w:val="00111952"/>
    <w:rsid w:val="00112602"/>
    <w:rsid w:val="00112971"/>
    <w:rsid w:val="001132A8"/>
    <w:rsid w:val="00113997"/>
    <w:rsid w:val="00113CF4"/>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FBA"/>
    <w:rsid w:val="00161E57"/>
    <w:rsid w:val="00161FC0"/>
    <w:rsid w:val="00162435"/>
    <w:rsid w:val="0016248C"/>
    <w:rsid w:val="001627EA"/>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FA3"/>
    <w:rsid w:val="00176CD5"/>
    <w:rsid w:val="001776D5"/>
    <w:rsid w:val="00177795"/>
    <w:rsid w:val="00177C5A"/>
    <w:rsid w:val="0018044B"/>
    <w:rsid w:val="0018138E"/>
    <w:rsid w:val="0018143F"/>
    <w:rsid w:val="0018163F"/>
    <w:rsid w:val="001816D0"/>
    <w:rsid w:val="00181771"/>
    <w:rsid w:val="00181F23"/>
    <w:rsid w:val="00182C55"/>
    <w:rsid w:val="00182EB9"/>
    <w:rsid w:val="00184608"/>
    <w:rsid w:val="00184CCF"/>
    <w:rsid w:val="00184E79"/>
    <w:rsid w:val="00185446"/>
    <w:rsid w:val="00185CF8"/>
    <w:rsid w:val="00185DDE"/>
    <w:rsid w:val="001865F7"/>
    <w:rsid w:val="00187F26"/>
    <w:rsid w:val="00190AC1"/>
    <w:rsid w:val="00191187"/>
    <w:rsid w:val="00191589"/>
    <w:rsid w:val="00191A7D"/>
    <w:rsid w:val="00191ECF"/>
    <w:rsid w:val="00191FE9"/>
    <w:rsid w:val="001922D5"/>
    <w:rsid w:val="0019268D"/>
    <w:rsid w:val="00192F0B"/>
    <w:rsid w:val="0019323F"/>
    <w:rsid w:val="00193286"/>
    <w:rsid w:val="0019341A"/>
    <w:rsid w:val="001946F5"/>
    <w:rsid w:val="00194ED8"/>
    <w:rsid w:val="00194F68"/>
    <w:rsid w:val="0019502E"/>
    <w:rsid w:val="00195064"/>
    <w:rsid w:val="001953D5"/>
    <w:rsid w:val="00195CDB"/>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F8E"/>
    <w:rsid w:val="001B10ED"/>
    <w:rsid w:val="001B1408"/>
    <w:rsid w:val="001B234C"/>
    <w:rsid w:val="001B2C1C"/>
    <w:rsid w:val="001B481C"/>
    <w:rsid w:val="001B4F23"/>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3830"/>
    <w:rsid w:val="001C3D2A"/>
    <w:rsid w:val="001C4382"/>
    <w:rsid w:val="001C45C3"/>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5322"/>
    <w:rsid w:val="0028566E"/>
    <w:rsid w:val="00285774"/>
    <w:rsid w:val="00285991"/>
    <w:rsid w:val="00285DF6"/>
    <w:rsid w:val="002867F8"/>
    <w:rsid w:val="0028680D"/>
    <w:rsid w:val="00286ACD"/>
    <w:rsid w:val="00286BBA"/>
    <w:rsid w:val="00286E6D"/>
    <w:rsid w:val="002872A0"/>
    <w:rsid w:val="002872B5"/>
    <w:rsid w:val="00287838"/>
    <w:rsid w:val="00287FD6"/>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507A"/>
    <w:rsid w:val="002A5300"/>
    <w:rsid w:val="002A6416"/>
    <w:rsid w:val="002A757B"/>
    <w:rsid w:val="002A78C0"/>
    <w:rsid w:val="002B18DD"/>
    <w:rsid w:val="002B1A40"/>
    <w:rsid w:val="002B24D6"/>
    <w:rsid w:val="002B25C9"/>
    <w:rsid w:val="002B2E95"/>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98F"/>
    <w:rsid w:val="002D4E8F"/>
    <w:rsid w:val="002D5177"/>
    <w:rsid w:val="002D52D5"/>
    <w:rsid w:val="002D53E3"/>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748"/>
    <w:rsid w:val="00301CE6"/>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76D"/>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DDD"/>
    <w:rsid w:val="00352795"/>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1236"/>
    <w:rsid w:val="003A1872"/>
    <w:rsid w:val="003A1A28"/>
    <w:rsid w:val="003A1A7C"/>
    <w:rsid w:val="003A2223"/>
    <w:rsid w:val="003A2A0F"/>
    <w:rsid w:val="003A3096"/>
    <w:rsid w:val="003A4103"/>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E00"/>
    <w:rsid w:val="003E72D9"/>
    <w:rsid w:val="003E74E3"/>
    <w:rsid w:val="003F02BE"/>
    <w:rsid w:val="003F05C7"/>
    <w:rsid w:val="003F0A61"/>
    <w:rsid w:val="003F1E64"/>
    <w:rsid w:val="003F26D7"/>
    <w:rsid w:val="003F2741"/>
    <w:rsid w:val="003F2CD4"/>
    <w:rsid w:val="003F2E9F"/>
    <w:rsid w:val="003F3EDD"/>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42FF"/>
    <w:rsid w:val="004543B3"/>
    <w:rsid w:val="004546F9"/>
    <w:rsid w:val="00454B40"/>
    <w:rsid w:val="00456E87"/>
    <w:rsid w:val="00457565"/>
    <w:rsid w:val="00457B71"/>
    <w:rsid w:val="00460073"/>
    <w:rsid w:val="0046016C"/>
    <w:rsid w:val="004601CF"/>
    <w:rsid w:val="0046032B"/>
    <w:rsid w:val="0046043B"/>
    <w:rsid w:val="00460A1B"/>
    <w:rsid w:val="00460B18"/>
    <w:rsid w:val="00461031"/>
    <w:rsid w:val="004616EB"/>
    <w:rsid w:val="004625FA"/>
    <w:rsid w:val="004631DF"/>
    <w:rsid w:val="00463254"/>
    <w:rsid w:val="004633C9"/>
    <w:rsid w:val="004633F0"/>
    <w:rsid w:val="0046470E"/>
    <w:rsid w:val="004659E5"/>
    <w:rsid w:val="00465A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3E8"/>
    <w:rsid w:val="00480904"/>
    <w:rsid w:val="00480B6F"/>
    <w:rsid w:val="0048130B"/>
    <w:rsid w:val="004815CD"/>
    <w:rsid w:val="004815CE"/>
    <w:rsid w:val="004825DF"/>
    <w:rsid w:val="00483459"/>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278"/>
    <w:rsid w:val="004A453C"/>
    <w:rsid w:val="004A4631"/>
    <w:rsid w:val="004A4930"/>
    <w:rsid w:val="004A4D4C"/>
    <w:rsid w:val="004A535C"/>
    <w:rsid w:val="004A58B8"/>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D0217"/>
    <w:rsid w:val="004D0502"/>
    <w:rsid w:val="004D0984"/>
    <w:rsid w:val="004D2B99"/>
    <w:rsid w:val="004D327C"/>
    <w:rsid w:val="004D3495"/>
    <w:rsid w:val="004D36B1"/>
    <w:rsid w:val="004D44A8"/>
    <w:rsid w:val="004D5240"/>
    <w:rsid w:val="004D5A69"/>
    <w:rsid w:val="004D5CDC"/>
    <w:rsid w:val="004D62A1"/>
    <w:rsid w:val="004D6F90"/>
    <w:rsid w:val="004D765D"/>
    <w:rsid w:val="004D7693"/>
    <w:rsid w:val="004D7BB2"/>
    <w:rsid w:val="004D7EBD"/>
    <w:rsid w:val="004E03DC"/>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4431"/>
    <w:rsid w:val="004F4888"/>
    <w:rsid w:val="004F4C46"/>
    <w:rsid w:val="004F4DA3"/>
    <w:rsid w:val="004F5383"/>
    <w:rsid w:val="004F58CB"/>
    <w:rsid w:val="004F5E10"/>
    <w:rsid w:val="004F6B58"/>
    <w:rsid w:val="004F6CB0"/>
    <w:rsid w:val="004F72B3"/>
    <w:rsid w:val="004F73D0"/>
    <w:rsid w:val="004F7757"/>
    <w:rsid w:val="00500746"/>
    <w:rsid w:val="00501B30"/>
    <w:rsid w:val="00502E8C"/>
    <w:rsid w:val="00502EB9"/>
    <w:rsid w:val="00503219"/>
    <w:rsid w:val="00503B81"/>
    <w:rsid w:val="00505EB5"/>
    <w:rsid w:val="00506557"/>
    <w:rsid w:val="0050677A"/>
    <w:rsid w:val="00506787"/>
    <w:rsid w:val="005074F8"/>
    <w:rsid w:val="0050774B"/>
    <w:rsid w:val="00507BFF"/>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301CB"/>
    <w:rsid w:val="00530AA3"/>
    <w:rsid w:val="00531248"/>
    <w:rsid w:val="0053178F"/>
    <w:rsid w:val="00531B46"/>
    <w:rsid w:val="00531F2C"/>
    <w:rsid w:val="00532CB7"/>
    <w:rsid w:val="00532FDD"/>
    <w:rsid w:val="005337AA"/>
    <w:rsid w:val="005339A2"/>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394"/>
    <w:rsid w:val="005508D7"/>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F2B"/>
    <w:rsid w:val="00563F83"/>
    <w:rsid w:val="005641A3"/>
    <w:rsid w:val="00564384"/>
    <w:rsid w:val="005654C4"/>
    <w:rsid w:val="005655C1"/>
    <w:rsid w:val="00565DF7"/>
    <w:rsid w:val="0056610D"/>
    <w:rsid w:val="00566AE5"/>
    <w:rsid w:val="005673D9"/>
    <w:rsid w:val="00570386"/>
    <w:rsid w:val="0057096D"/>
    <w:rsid w:val="00570AC8"/>
    <w:rsid w:val="00571127"/>
    <w:rsid w:val="005721D0"/>
    <w:rsid w:val="00572505"/>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53C4"/>
    <w:rsid w:val="005C569A"/>
    <w:rsid w:val="005C5FB8"/>
    <w:rsid w:val="005C68CD"/>
    <w:rsid w:val="005C68D4"/>
    <w:rsid w:val="005C74FB"/>
    <w:rsid w:val="005C7CAC"/>
    <w:rsid w:val="005D040C"/>
    <w:rsid w:val="005D0939"/>
    <w:rsid w:val="005D1151"/>
    <w:rsid w:val="005D1468"/>
    <w:rsid w:val="005D1602"/>
    <w:rsid w:val="005D1658"/>
    <w:rsid w:val="005D1796"/>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909"/>
    <w:rsid w:val="005F2CB1"/>
    <w:rsid w:val="005F3025"/>
    <w:rsid w:val="005F3264"/>
    <w:rsid w:val="005F38EB"/>
    <w:rsid w:val="005F38FF"/>
    <w:rsid w:val="005F3954"/>
    <w:rsid w:val="005F3E12"/>
    <w:rsid w:val="005F44CB"/>
    <w:rsid w:val="005F5B9C"/>
    <w:rsid w:val="005F5D09"/>
    <w:rsid w:val="005F5EDD"/>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354"/>
    <w:rsid w:val="00614C07"/>
    <w:rsid w:val="00614D1D"/>
    <w:rsid w:val="00615114"/>
    <w:rsid w:val="006154A1"/>
    <w:rsid w:val="00615550"/>
    <w:rsid w:val="00615E4A"/>
    <w:rsid w:val="00615E72"/>
    <w:rsid w:val="00616333"/>
    <w:rsid w:val="00616772"/>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7048"/>
    <w:rsid w:val="006873D2"/>
    <w:rsid w:val="00687DB2"/>
    <w:rsid w:val="00687F15"/>
    <w:rsid w:val="00687FFC"/>
    <w:rsid w:val="0069113C"/>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933"/>
    <w:rsid w:val="006B5D7C"/>
    <w:rsid w:val="006B7213"/>
    <w:rsid w:val="006B72B0"/>
    <w:rsid w:val="006B746F"/>
    <w:rsid w:val="006C03A9"/>
    <w:rsid w:val="006C03B8"/>
    <w:rsid w:val="006C0876"/>
    <w:rsid w:val="006C59F1"/>
    <w:rsid w:val="006C5BD7"/>
    <w:rsid w:val="006C5EC9"/>
    <w:rsid w:val="006C6059"/>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89F"/>
    <w:rsid w:val="006E7906"/>
    <w:rsid w:val="006E7D3B"/>
    <w:rsid w:val="006F0269"/>
    <w:rsid w:val="006F0626"/>
    <w:rsid w:val="006F13A2"/>
    <w:rsid w:val="006F15D5"/>
    <w:rsid w:val="006F180D"/>
    <w:rsid w:val="006F1B70"/>
    <w:rsid w:val="006F1C4B"/>
    <w:rsid w:val="006F2D2C"/>
    <w:rsid w:val="006F341D"/>
    <w:rsid w:val="006F3AD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537"/>
    <w:rsid w:val="00704D70"/>
    <w:rsid w:val="00704EDB"/>
    <w:rsid w:val="007052BE"/>
    <w:rsid w:val="007057DD"/>
    <w:rsid w:val="00705D21"/>
    <w:rsid w:val="00706101"/>
    <w:rsid w:val="00706D91"/>
    <w:rsid w:val="00707072"/>
    <w:rsid w:val="007071CE"/>
    <w:rsid w:val="00707D61"/>
    <w:rsid w:val="007100B5"/>
    <w:rsid w:val="00710A1A"/>
    <w:rsid w:val="007112C6"/>
    <w:rsid w:val="00711572"/>
    <w:rsid w:val="007116EB"/>
    <w:rsid w:val="007121F6"/>
    <w:rsid w:val="00712287"/>
    <w:rsid w:val="00712772"/>
    <w:rsid w:val="00713058"/>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940"/>
    <w:rsid w:val="007242AB"/>
    <w:rsid w:val="00724729"/>
    <w:rsid w:val="00724AEC"/>
    <w:rsid w:val="0072504C"/>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7C2C"/>
    <w:rsid w:val="007409D3"/>
    <w:rsid w:val="00740E58"/>
    <w:rsid w:val="00741DF3"/>
    <w:rsid w:val="007423AE"/>
    <w:rsid w:val="00742516"/>
    <w:rsid w:val="007441A2"/>
    <w:rsid w:val="007445A0"/>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9A7"/>
    <w:rsid w:val="00775B19"/>
    <w:rsid w:val="00776784"/>
    <w:rsid w:val="00776971"/>
    <w:rsid w:val="007779CF"/>
    <w:rsid w:val="007779EC"/>
    <w:rsid w:val="0078177E"/>
    <w:rsid w:val="00781F3F"/>
    <w:rsid w:val="007822A3"/>
    <w:rsid w:val="00782D2C"/>
    <w:rsid w:val="0078304C"/>
    <w:rsid w:val="00783673"/>
    <w:rsid w:val="007840A6"/>
    <w:rsid w:val="0078466D"/>
    <w:rsid w:val="00784727"/>
    <w:rsid w:val="00785243"/>
    <w:rsid w:val="007853E1"/>
    <w:rsid w:val="00785490"/>
    <w:rsid w:val="00785750"/>
    <w:rsid w:val="007858ED"/>
    <w:rsid w:val="00785AB3"/>
    <w:rsid w:val="00785B5F"/>
    <w:rsid w:val="0078648D"/>
    <w:rsid w:val="007865DC"/>
    <w:rsid w:val="007877E8"/>
    <w:rsid w:val="00790047"/>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37F"/>
    <w:rsid w:val="00795BAB"/>
    <w:rsid w:val="00795C92"/>
    <w:rsid w:val="00795E63"/>
    <w:rsid w:val="0079608F"/>
    <w:rsid w:val="00796231"/>
    <w:rsid w:val="00796285"/>
    <w:rsid w:val="00797801"/>
    <w:rsid w:val="00797D3D"/>
    <w:rsid w:val="007A08E5"/>
    <w:rsid w:val="007A0B5C"/>
    <w:rsid w:val="007A0FA5"/>
    <w:rsid w:val="007A1045"/>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D1A"/>
    <w:rsid w:val="007B31DF"/>
    <w:rsid w:val="007B3D2D"/>
    <w:rsid w:val="007B3D74"/>
    <w:rsid w:val="007B46AB"/>
    <w:rsid w:val="007B50AE"/>
    <w:rsid w:val="007B51DF"/>
    <w:rsid w:val="007B53E1"/>
    <w:rsid w:val="007B60EF"/>
    <w:rsid w:val="007B6980"/>
    <w:rsid w:val="007B7CBD"/>
    <w:rsid w:val="007B7F03"/>
    <w:rsid w:val="007C012A"/>
    <w:rsid w:val="007C017F"/>
    <w:rsid w:val="007C03A3"/>
    <w:rsid w:val="007C05DD"/>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4E5"/>
    <w:rsid w:val="007D1A61"/>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ABB"/>
    <w:rsid w:val="007F2656"/>
    <w:rsid w:val="007F28BB"/>
    <w:rsid w:val="007F2E75"/>
    <w:rsid w:val="007F3E3C"/>
    <w:rsid w:val="007F4F70"/>
    <w:rsid w:val="007F5F27"/>
    <w:rsid w:val="007F5F4E"/>
    <w:rsid w:val="008019F1"/>
    <w:rsid w:val="00802A25"/>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C42"/>
    <w:rsid w:val="00825D25"/>
    <w:rsid w:val="0082691B"/>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A16"/>
    <w:rsid w:val="00834F3F"/>
    <w:rsid w:val="00835F85"/>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47DE4"/>
    <w:rsid w:val="008513DE"/>
    <w:rsid w:val="00851B43"/>
    <w:rsid w:val="00851D43"/>
    <w:rsid w:val="00852073"/>
    <w:rsid w:val="0085353A"/>
    <w:rsid w:val="008539E4"/>
    <w:rsid w:val="00853AD0"/>
    <w:rsid w:val="00853EFC"/>
    <w:rsid w:val="0085417D"/>
    <w:rsid w:val="00854F97"/>
    <w:rsid w:val="00856850"/>
    <w:rsid w:val="00856911"/>
    <w:rsid w:val="00857DF0"/>
    <w:rsid w:val="0086037A"/>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EB1"/>
    <w:rsid w:val="008706D4"/>
    <w:rsid w:val="00870C99"/>
    <w:rsid w:val="00870F8A"/>
    <w:rsid w:val="008710A5"/>
    <w:rsid w:val="008719A4"/>
    <w:rsid w:val="00871D23"/>
    <w:rsid w:val="00872DEB"/>
    <w:rsid w:val="00873552"/>
    <w:rsid w:val="00874312"/>
    <w:rsid w:val="0087437C"/>
    <w:rsid w:val="00875053"/>
    <w:rsid w:val="00875490"/>
    <w:rsid w:val="00875CD7"/>
    <w:rsid w:val="00875F1F"/>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EE4"/>
    <w:rsid w:val="00884A77"/>
    <w:rsid w:val="00884C2E"/>
    <w:rsid w:val="00885C73"/>
    <w:rsid w:val="00885F4F"/>
    <w:rsid w:val="008869CA"/>
    <w:rsid w:val="00886CCF"/>
    <w:rsid w:val="0088727B"/>
    <w:rsid w:val="00890B94"/>
    <w:rsid w:val="00890CE3"/>
    <w:rsid w:val="00890D4B"/>
    <w:rsid w:val="00891080"/>
    <w:rsid w:val="0089135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6AE8"/>
    <w:rsid w:val="008C6CAC"/>
    <w:rsid w:val="008C7307"/>
    <w:rsid w:val="008C7573"/>
    <w:rsid w:val="008C78D5"/>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978"/>
    <w:rsid w:val="008E3F1A"/>
    <w:rsid w:val="008E4517"/>
    <w:rsid w:val="008E4526"/>
    <w:rsid w:val="008E4A09"/>
    <w:rsid w:val="008E55EC"/>
    <w:rsid w:val="008E56E8"/>
    <w:rsid w:val="008E5BAB"/>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900AE5"/>
    <w:rsid w:val="00900E9D"/>
    <w:rsid w:val="0090114E"/>
    <w:rsid w:val="00901BB8"/>
    <w:rsid w:val="00902350"/>
    <w:rsid w:val="00902DBF"/>
    <w:rsid w:val="00903249"/>
    <w:rsid w:val="0090336B"/>
    <w:rsid w:val="00903AA0"/>
    <w:rsid w:val="00903DEC"/>
    <w:rsid w:val="00904193"/>
    <w:rsid w:val="00904437"/>
    <w:rsid w:val="00904A3D"/>
    <w:rsid w:val="00904F44"/>
    <w:rsid w:val="009053AA"/>
    <w:rsid w:val="00905B30"/>
    <w:rsid w:val="00906397"/>
    <w:rsid w:val="00906762"/>
    <w:rsid w:val="00906939"/>
    <w:rsid w:val="009079AC"/>
    <w:rsid w:val="0091009D"/>
    <w:rsid w:val="009109B5"/>
    <w:rsid w:val="00910B7D"/>
    <w:rsid w:val="00911DFB"/>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949"/>
    <w:rsid w:val="009770B2"/>
    <w:rsid w:val="009776E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ECF"/>
    <w:rsid w:val="00987891"/>
    <w:rsid w:val="009905A4"/>
    <w:rsid w:val="00990630"/>
    <w:rsid w:val="00991438"/>
    <w:rsid w:val="00991660"/>
    <w:rsid w:val="00991761"/>
    <w:rsid w:val="00992355"/>
    <w:rsid w:val="009923E8"/>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6C"/>
    <w:rsid w:val="009A0AAA"/>
    <w:rsid w:val="009A0C85"/>
    <w:rsid w:val="009A0FBA"/>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041B"/>
    <w:rsid w:val="009C0906"/>
    <w:rsid w:val="009C1702"/>
    <w:rsid w:val="009C1F87"/>
    <w:rsid w:val="009C2315"/>
    <w:rsid w:val="009C25D0"/>
    <w:rsid w:val="009C2D8F"/>
    <w:rsid w:val="009C2FD6"/>
    <w:rsid w:val="009C32F6"/>
    <w:rsid w:val="009C37A7"/>
    <w:rsid w:val="009C3824"/>
    <w:rsid w:val="009C403E"/>
    <w:rsid w:val="009C447F"/>
    <w:rsid w:val="009C48EB"/>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0717"/>
    <w:rsid w:val="00A013BE"/>
    <w:rsid w:val="00A01828"/>
    <w:rsid w:val="00A01D01"/>
    <w:rsid w:val="00A02A06"/>
    <w:rsid w:val="00A035BB"/>
    <w:rsid w:val="00A03CAD"/>
    <w:rsid w:val="00A048A8"/>
    <w:rsid w:val="00A04F49"/>
    <w:rsid w:val="00A0528D"/>
    <w:rsid w:val="00A05F9E"/>
    <w:rsid w:val="00A0647F"/>
    <w:rsid w:val="00A06AB7"/>
    <w:rsid w:val="00A06F5C"/>
    <w:rsid w:val="00A07F6B"/>
    <w:rsid w:val="00A108F2"/>
    <w:rsid w:val="00A11351"/>
    <w:rsid w:val="00A118CC"/>
    <w:rsid w:val="00A11B6D"/>
    <w:rsid w:val="00A11F58"/>
    <w:rsid w:val="00A12754"/>
    <w:rsid w:val="00A1305A"/>
    <w:rsid w:val="00A13289"/>
    <w:rsid w:val="00A13BAC"/>
    <w:rsid w:val="00A13E54"/>
    <w:rsid w:val="00A13E76"/>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6BA"/>
    <w:rsid w:val="00A27785"/>
    <w:rsid w:val="00A27BEC"/>
    <w:rsid w:val="00A30187"/>
    <w:rsid w:val="00A312F5"/>
    <w:rsid w:val="00A31702"/>
    <w:rsid w:val="00A31D75"/>
    <w:rsid w:val="00A31E26"/>
    <w:rsid w:val="00A32B67"/>
    <w:rsid w:val="00A334D4"/>
    <w:rsid w:val="00A33709"/>
    <w:rsid w:val="00A33BD8"/>
    <w:rsid w:val="00A33C8D"/>
    <w:rsid w:val="00A33EAD"/>
    <w:rsid w:val="00A3448A"/>
    <w:rsid w:val="00A348B9"/>
    <w:rsid w:val="00A355EC"/>
    <w:rsid w:val="00A36297"/>
    <w:rsid w:val="00A364F9"/>
    <w:rsid w:val="00A36FBC"/>
    <w:rsid w:val="00A400FB"/>
    <w:rsid w:val="00A40205"/>
    <w:rsid w:val="00A405D4"/>
    <w:rsid w:val="00A406FE"/>
    <w:rsid w:val="00A40770"/>
    <w:rsid w:val="00A408C0"/>
    <w:rsid w:val="00A416A9"/>
    <w:rsid w:val="00A41E2B"/>
    <w:rsid w:val="00A4288F"/>
    <w:rsid w:val="00A43252"/>
    <w:rsid w:val="00A434F5"/>
    <w:rsid w:val="00A4469B"/>
    <w:rsid w:val="00A44899"/>
    <w:rsid w:val="00A44F0D"/>
    <w:rsid w:val="00A44FC8"/>
    <w:rsid w:val="00A45B74"/>
    <w:rsid w:val="00A45BA9"/>
    <w:rsid w:val="00A46413"/>
    <w:rsid w:val="00A464F8"/>
    <w:rsid w:val="00A46F59"/>
    <w:rsid w:val="00A47040"/>
    <w:rsid w:val="00A504B2"/>
    <w:rsid w:val="00A50AF0"/>
    <w:rsid w:val="00A50F57"/>
    <w:rsid w:val="00A515F8"/>
    <w:rsid w:val="00A51BD4"/>
    <w:rsid w:val="00A51FE7"/>
    <w:rsid w:val="00A520B7"/>
    <w:rsid w:val="00A521D7"/>
    <w:rsid w:val="00A52E1D"/>
    <w:rsid w:val="00A52F08"/>
    <w:rsid w:val="00A52FDC"/>
    <w:rsid w:val="00A54867"/>
    <w:rsid w:val="00A54D7B"/>
    <w:rsid w:val="00A55134"/>
    <w:rsid w:val="00A553BE"/>
    <w:rsid w:val="00A56170"/>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54C5"/>
    <w:rsid w:val="00B156C0"/>
    <w:rsid w:val="00B157F9"/>
    <w:rsid w:val="00B15A3D"/>
    <w:rsid w:val="00B15BFD"/>
    <w:rsid w:val="00B16BA1"/>
    <w:rsid w:val="00B16BA5"/>
    <w:rsid w:val="00B16F5E"/>
    <w:rsid w:val="00B17F16"/>
    <w:rsid w:val="00B20256"/>
    <w:rsid w:val="00B202D6"/>
    <w:rsid w:val="00B20D09"/>
    <w:rsid w:val="00B22C47"/>
    <w:rsid w:val="00B23021"/>
    <w:rsid w:val="00B231FE"/>
    <w:rsid w:val="00B235F8"/>
    <w:rsid w:val="00B23648"/>
    <w:rsid w:val="00B236D4"/>
    <w:rsid w:val="00B236FC"/>
    <w:rsid w:val="00B2393E"/>
    <w:rsid w:val="00B23CB7"/>
    <w:rsid w:val="00B24450"/>
    <w:rsid w:val="00B25BFC"/>
    <w:rsid w:val="00B26BD9"/>
    <w:rsid w:val="00B27269"/>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44F1"/>
    <w:rsid w:val="00BC488B"/>
    <w:rsid w:val="00BC4BEE"/>
    <w:rsid w:val="00BC4D2E"/>
    <w:rsid w:val="00BC4E3B"/>
    <w:rsid w:val="00BC516E"/>
    <w:rsid w:val="00BC5562"/>
    <w:rsid w:val="00BC5F84"/>
    <w:rsid w:val="00BC6A22"/>
    <w:rsid w:val="00BC6CC3"/>
    <w:rsid w:val="00BC6EA7"/>
    <w:rsid w:val="00BC7844"/>
    <w:rsid w:val="00BD015B"/>
    <w:rsid w:val="00BD14A4"/>
    <w:rsid w:val="00BD14E7"/>
    <w:rsid w:val="00BD162F"/>
    <w:rsid w:val="00BD1D43"/>
    <w:rsid w:val="00BD1D92"/>
    <w:rsid w:val="00BD209A"/>
    <w:rsid w:val="00BD2807"/>
    <w:rsid w:val="00BD2F45"/>
    <w:rsid w:val="00BD2FB4"/>
    <w:rsid w:val="00BD48AC"/>
    <w:rsid w:val="00BD526B"/>
    <w:rsid w:val="00BD5B12"/>
    <w:rsid w:val="00BD5F1A"/>
    <w:rsid w:val="00BD633E"/>
    <w:rsid w:val="00BD6869"/>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33F"/>
    <w:rsid w:val="00BE39EA"/>
    <w:rsid w:val="00BE40D7"/>
    <w:rsid w:val="00BE42FE"/>
    <w:rsid w:val="00BE4CA9"/>
    <w:rsid w:val="00BE5338"/>
    <w:rsid w:val="00BE538F"/>
    <w:rsid w:val="00BE575B"/>
    <w:rsid w:val="00BE5F38"/>
    <w:rsid w:val="00BE7406"/>
    <w:rsid w:val="00BE756F"/>
    <w:rsid w:val="00BE7603"/>
    <w:rsid w:val="00BE7FC2"/>
    <w:rsid w:val="00BF0CCA"/>
    <w:rsid w:val="00BF1EE7"/>
    <w:rsid w:val="00BF29C7"/>
    <w:rsid w:val="00BF3279"/>
    <w:rsid w:val="00BF3B64"/>
    <w:rsid w:val="00BF479C"/>
    <w:rsid w:val="00BF5054"/>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443C"/>
    <w:rsid w:val="00C74869"/>
    <w:rsid w:val="00C74FEA"/>
    <w:rsid w:val="00C75014"/>
    <w:rsid w:val="00C75557"/>
    <w:rsid w:val="00C7564D"/>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020"/>
    <w:rsid w:val="00C86127"/>
    <w:rsid w:val="00C8687E"/>
    <w:rsid w:val="00C86AF8"/>
    <w:rsid w:val="00C87922"/>
    <w:rsid w:val="00C9027A"/>
    <w:rsid w:val="00C9068E"/>
    <w:rsid w:val="00C90E89"/>
    <w:rsid w:val="00C917B9"/>
    <w:rsid w:val="00C91B2D"/>
    <w:rsid w:val="00C91EE4"/>
    <w:rsid w:val="00C91FA0"/>
    <w:rsid w:val="00C92111"/>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C5F"/>
    <w:rsid w:val="00CB1F63"/>
    <w:rsid w:val="00CB210C"/>
    <w:rsid w:val="00CB4844"/>
    <w:rsid w:val="00CB48DC"/>
    <w:rsid w:val="00CB507A"/>
    <w:rsid w:val="00CB54AB"/>
    <w:rsid w:val="00CB5B6A"/>
    <w:rsid w:val="00CB5B8D"/>
    <w:rsid w:val="00CB6386"/>
    <w:rsid w:val="00CB6458"/>
    <w:rsid w:val="00CB68C1"/>
    <w:rsid w:val="00CB68EF"/>
    <w:rsid w:val="00CB7170"/>
    <w:rsid w:val="00CB7222"/>
    <w:rsid w:val="00CB7820"/>
    <w:rsid w:val="00CB7B40"/>
    <w:rsid w:val="00CB7DC0"/>
    <w:rsid w:val="00CB7E60"/>
    <w:rsid w:val="00CB7FB6"/>
    <w:rsid w:val="00CC040E"/>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562"/>
    <w:rsid w:val="00CC7B45"/>
    <w:rsid w:val="00CD1131"/>
    <w:rsid w:val="00CD1188"/>
    <w:rsid w:val="00CD180B"/>
    <w:rsid w:val="00CD2784"/>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9BC"/>
    <w:rsid w:val="00CF1F83"/>
    <w:rsid w:val="00CF265B"/>
    <w:rsid w:val="00CF2D87"/>
    <w:rsid w:val="00CF3042"/>
    <w:rsid w:val="00CF35BF"/>
    <w:rsid w:val="00CF3B1F"/>
    <w:rsid w:val="00CF3BF6"/>
    <w:rsid w:val="00CF5E79"/>
    <w:rsid w:val="00CF625B"/>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789"/>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60213"/>
    <w:rsid w:val="00D61AF5"/>
    <w:rsid w:val="00D61EE8"/>
    <w:rsid w:val="00D62356"/>
    <w:rsid w:val="00D62E22"/>
    <w:rsid w:val="00D638DF"/>
    <w:rsid w:val="00D639B3"/>
    <w:rsid w:val="00D63D40"/>
    <w:rsid w:val="00D64ADE"/>
    <w:rsid w:val="00D64FF9"/>
    <w:rsid w:val="00D652B5"/>
    <w:rsid w:val="00D65B74"/>
    <w:rsid w:val="00D66155"/>
    <w:rsid w:val="00D66901"/>
    <w:rsid w:val="00D66B96"/>
    <w:rsid w:val="00D675E4"/>
    <w:rsid w:val="00D67AD6"/>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7354"/>
    <w:rsid w:val="00D776C6"/>
    <w:rsid w:val="00D7782E"/>
    <w:rsid w:val="00D77AD3"/>
    <w:rsid w:val="00D77B1D"/>
    <w:rsid w:val="00D8021F"/>
    <w:rsid w:val="00D802EE"/>
    <w:rsid w:val="00D80383"/>
    <w:rsid w:val="00D80833"/>
    <w:rsid w:val="00D809DD"/>
    <w:rsid w:val="00D80A3C"/>
    <w:rsid w:val="00D80A45"/>
    <w:rsid w:val="00D80AB4"/>
    <w:rsid w:val="00D80F9F"/>
    <w:rsid w:val="00D820FE"/>
    <w:rsid w:val="00D823C6"/>
    <w:rsid w:val="00D824D4"/>
    <w:rsid w:val="00D82515"/>
    <w:rsid w:val="00D82685"/>
    <w:rsid w:val="00D828EA"/>
    <w:rsid w:val="00D82AC3"/>
    <w:rsid w:val="00D82BFF"/>
    <w:rsid w:val="00D836BF"/>
    <w:rsid w:val="00D83B86"/>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D0270"/>
    <w:rsid w:val="00DD0BF5"/>
    <w:rsid w:val="00DD15A9"/>
    <w:rsid w:val="00DD2283"/>
    <w:rsid w:val="00DD2685"/>
    <w:rsid w:val="00DD2A88"/>
    <w:rsid w:val="00DD2C4E"/>
    <w:rsid w:val="00DD347E"/>
    <w:rsid w:val="00DD3D89"/>
    <w:rsid w:val="00DD4AB0"/>
    <w:rsid w:val="00DD4DA5"/>
    <w:rsid w:val="00DD57FD"/>
    <w:rsid w:val="00DD598A"/>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8D0"/>
    <w:rsid w:val="00DE654F"/>
    <w:rsid w:val="00DE6EA7"/>
    <w:rsid w:val="00DE7208"/>
    <w:rsid w:val="00DE72A7"/>
    <w:rsid w:val="00DE7330"/>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397"/>
    <w:rsid w:val="00DF539A"/>
    <w:rsid w:val="00DF5547"/>
    <w:rsid w:val="00DF5587"/>
    <w:rsid w:val="00DF6727"/>
    <w:rsid w:val="00DF6C89"/>
    <w:rsid w:val="00DF6F71"/>
    <w:rsid w:val="00DF729E"/>
    <w:rsid w:val="00DF735B"/>
    <w:rsid w:val="00E00078"/>
    <w:rsid w:val="00E00319"/>
    <w:rsid w:val="00E00A79"/>
    <w:rsid w:val="00E00E97"/>
    <w:rsid w:val="00E01BE9"/>
    <w:rsid w:val="00E0200C"/>
    <w:rsid w:val="00E023AC"/>
    <w:rsid w:val="00E02929"/>
    <w:rsid w:val="00E031CB"/>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41"/>
    <w:rsid w:val="00E16EB6"/>
    <w:rsid w:val="00E17517"/>
    <w:rsid w:val="00E17844"/>
    <w:rsid w:val="00E17972"/>
    <w:rsid w:val="00E17FA2"/>
    <w:rsid w:val="00E20373"/>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954"/>
    <w:rsid w:val="00E60AE3"/>
    <w:rsid w:val="00E617B5"/>
    <w:rsid w:val="00E617DC"/>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E78"/>
    <w:rsid w:val="00E8234C"/>
    <w:rsid w:val="00E82A5F"/>
    <w:rsid w:val="00E839B6"/>
    <w:rsid w:val="00E83AA9"/>
    <w:rsid w:val="00E84506"/>
    <w:rsid w:val="00E847AB"/>
    <w:rsid w:val="00E84930"/>
    <w:rsid w:val="00E8503E"/>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D67"/>
    <w:rsid w:val="00EC4207"/>
    <w:rsid w:val="00EC469A"/>
    <w:rsid w:val="00EC490A"/>
    <w:rsid w:val="00EC5381"/>
    <w:rsid w:val="00EC550E"/>
    <w:rsid w:val="00EC5653"/>
    <w:rsid w:val="00EC5953"/>
    <w:rsid w:val="00EC5E35"/>
    <w:rsid w:val="00EC71CE"/>
    <w:rsid w:val="00EC75AC"/>
    <w:rsid w:val="00EC7997"/>
    <w:rsid w:val="00EC7BBA"/>
    <w:rsid w:val="00EC7E51"/>
    <w:rsid w:val="00ED1006"/>
    <w:rsid w:val="00ED1E74"/>
    <w:rsid w:val="00ED2049"/>
    <w:rsid w:val="00ED2240"/>
    <w:rsid w:val="00ED2A4B"/>
    <w:rsid w:val="00ED2F92"/>
    <w:rsid w:val="00ED3D10"/>
    <w:rsid w:val="00ED43BC"/>
    <w:rsid w:val="00ED4F1C"/>
    <w:rsid w:val="00ED4F2B"/>
    <w:rsid w:val="00ED5D67"/>
    <w:rsid w:val="00ED7965"/>
    <w:rsid w:val="00EE1386"/>
    <w:rsid w:val="00EE1C5A"/>
    <w:rsid w:val="00EE2A91"/>
    <w:rsid w:val="00EE3403"/>
    <w:rsid w:val="00EE45BA"/>
    <w:rsid w:val="00EE4BEC"/>
    <w:rsid w:val="00EE4D79"/>
    <w:rsid w:val="00EE5094"/>
    <w:rsid w:val="00EE56BF"/>
    <w:rsid w:val="00EE6BF3"/>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209F"/>
    <w:rsid w:val="00F32DDC"/>
    <w:rsid w:val="00F32E83"/>
    <w:rsid w:val="00F33202"/>
    <w:rsid w:val="00F3334B"/>
    <w:rsid w:val="00F3358C"/>
    <w:rsid w:val="00F33617"/>
    <w:rsid w:val="00F339F4"/>
    <w:rsid w:val="00F33BC9"/>
    <w:rsid w:val="00F33BF3"/>
    <w:rsid w:val="00F3414F"/>
    <w:rsid w:val="00F348E4"/>
    <w:rsid w:val="00F356E5"/>
    <w:rsid w:val="00F356ED"/>
    <w:rsid w:val="00F35A34"/>
    <w:rsid w:val="00F35C0E"/>
    <w:rsid w:val="00F3677A"/>
    <w:rsid w:val="00F36CD8"/>
    <w:rsid w:val="00F36D15"/>
    <w:rsid w:val="00F37089"/>
    <w:rsid w:val="00F371C7"/>
    <w:rsid w:val="00F3752C"/>
    <w:rsid w:val="00F378E5"/>
    <w:rsid w:val="00F400C5"/>
    <w:rsid w:val="00F40F0C"/>
    <w:rsid w:val="00F41020"/>
    <w:rsid w:val="00F41E77"/>
    <w:rsid w:val="00F424EF"/>
    <w:rsid w:val="00F42508"/>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908"/>
    <w:rsid w:val="00F67DCA"/>
    <w:rsid w:val="00F67F53"/>
    <w:rsid w:val="00F703BE"/>
    <w:rsid w:val="00F70613"/>
    <w:rsid w:val="00F70B90"/>
    <w:rsid w:val="00F70D44"/>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382"/>
    <w:rsid w:val="00FA342B"/>
    <w:rsid w:val="00FA3604"/>
    <w:rsid w:val="00FA4852"/>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B83"/>
    <w:rsid w:val="00FB465B"/>
    <w:rsid w:val="00FB4906"/>
    <w:rsid w:val="00FB4C80"/>
    <w:rsid w:val="00FB5061"/>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3C6F"/>
    <w:rsid w:val="00FC4E91"/>
    <w:rsid w:val="00FC5095"/>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500A"/>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85F7D5A5-0720-4049-ADEB-1D2AFA3A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sharepoint/v3"/>
    <ds:schemaRef ds:uri="9b239327-9e80-40e4-b1b7-4394fed77a33"/>
    <ds:schemaRef ds:uri="http://www.w3.org/XML/1998/namespace"/>
    <ds:schemaRef ds:uri="2f282d3b-eb4a-4b09-b61f-b9593442e286"/>
    <ds:schemaRef ds:uri="d8762117-8292-4133-b1c7-eab5c6487cfd"/>
    <ds:schemaRef ds:uri="http://purl.org/dc/terms/"/>
  </ds:schemaRefs>
</ds:datastoreItem>
</file>

<file path=customXml/itemProps3.xml><?xml version="1.0" encoding="utf-8"?>
<ds:datastoreItem xmlns:ds="http://schemas.openxmlformats.org/officeDocument/2006/customXml" ds:itemID="{821D7FB6-0BAD-48F5-8CE7-5C9CCB7C7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12</Pages>
  <Words>5305</Words>
  <Characters>30317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35551</CharactersWithSpaces>
  <SharedDoc>false</SharedDoc>
  <HLinks>
    <vt:vector size="102" baseType="variant">
      <vt:variant>
        <vt:i4>1441840</vt:i4>
      </vt:variant>
      <vt:variant>
        <vt:i4>80</vt:i4>
      </vt:variant>
      <vt:variant>
        <vt:i4>0</vt:i4>
      </vt:variant>
      <vt:variant>
        <vt:i4>5</vt:i4>
      </vt:variant>
      <vt:variant>
        <vt:lpwstr/>
      </vt:variant>
      <vt:variant>
        <vt:lpwstr>_Toc134437619</vt:lpwstr>
      </vt:variant>
      <vt:variant>
        <vt:i4>1441840</vt:i4>
      </vt:variant>
      <vt:variant>
        <vt:i4>77</vt:i4>
      </vt:variant>
      <vt:variant>
        <vt:i4>0</vt:i4>
      </vt:variant>
      <vt:variant>
        <vt:i4>5</vt:i4>
      </vt:variant>
      <vt:variant>
        <vt:lpwstr/>
      </vt:variant>
      <vt:variant>
        <vt:lpwstr>_Toc134437618</vt:lpwstr>
      </vt:variant>
      <vt:variant>
        <vt:i4>1441840</vt:i4>
      </vt:variant>
      <vt:variant>
        <vt:i4>74</vt:i4>
      </vt:variant>
      <vt:variant>
        <vt:i4>0</vt:i4>
      </vt:variant>
      <vt:variant>
        <vt:i4>5</vt:i4>
      </vt:variant>
      <vt:variant>
        <vt:lpwstr/>
      </vt:variant>
      <vt:variant>
        <vt:lpwstr>_Toc134437617</vt:lpwstr>
      </vt:variant>
      <vt:variant>
        <vt:i4>1441840</vt:i4>
      </vt:variant>
      <vt:variant>
        <vt:i4>71</vt:i4>
      </vt:variant>
      <vt:variant>
        <vt:i4>0</vt:i4>
      </vt:variant>
      <vt:variant>
        <vt:i4>5</vt:i4>
      </vt:variant>
      <vt:variant>
        <vt:lpwstr/>
      </vt:variant>
      <vt:variant>
        <vt:lpwstr>_Toc134437616</vt:lpwstr>
      </vt:variant>
      <vt:variant>
        <vt:i4>1441840</vt:i4>
      </vt:variant>
      <vt:variant>
        <vt:i4>68</vt:i4>
      </vt:variant>
      <vt:variant>
        <vt:i4>0</vt:i4>
      </vt:variant>
      <vt:variant>
        <vt:i4>5</vt:i4>
      </vt:variant>
      <vt:variant>
        <vt:lpwstr/>
      </vt:variant>
      <vt:variant>
        <vt:lpwstr>_Toc134437615</vt:lpwstr>
      </vt:variant>
      <vt:variant>
        <vt:i4>1441840</vt:i4>
      </vt:variant>
      <vt:variant>
        <vt:i4>65</vt:i4>
      </vt:variant>
      <vt:variant>
        <vt:i4>0</vt:i4>
      </vt:variant>
      <vt:variant>
        <vt:i4>5</vt:i4>
      </vt:variant>
      <vt:variant>
        <vt:lpwstr/>
      </vt:variant>
      <vt:variant>
        <vt:lpwstr>_Toc134437614</vt:lpwstr>
      </vt:variant>
      <vt:variant>
        <vt:i4>1441840</vt:i4>
      </vt:variant>
      <vt:variant>
        <vt:i4>62</vt:i4>
      </vt:variant>
      <vt:variant>
        <vt:i4>0</vt:i4>
      </vt:variant>
      <vt:variant>
        <vt:i4>5</vt:i4>
      </vt:variant>
      <vt:variant>
        <vt:lpwstr/>
      </vt:variant>
      <vt:variant>
        <vt:lpwstr>_Toc134437613</vt:lpwstr>
      </vt:variant>
      <vt:variant>
        <vt:i4>1441840</vt:i4>
      </vt:variant>
      <vt:variant>
        <vt:i4>59</vt:i4>
      </vt:variant>
      <vt:variant>
        <vt:i4>0</vt:i4>
      </vt:variant>
      <vt:variant>
        <vt:i4>5</vt:i4>
      </vt:variant>
      <vt:variant>
        <vt:lpwstr/>
      </vt:variant>
      <vt:variant>
        <vt:lpwstr>_Toc134437612</vt:lpwstr>
      </vt:variant>
      <vt:variant>
        <vt:i4>1441840</vt:i4>
      </vt:variant>
      <vt:variant>
        <vt:i4>56</vt:i4>
      </vt:variant>
      <vt:variant>
        <vt:i4>0</vt:i4>
      </vt:variant>
      <vt:variant>
        <vt:i4>5</vt:i4>
      </vt:variant>
      <vt:variant>
        <vt:lpwstr/>
      </vt:variant>
      <vt:variant>
        <vt:lpwstr>_Toc134437611</vt:lpwstr>
      </vt:variant>
      <vt:variant>
        <vt:i4>1441840</vt:i4>
      </vt:variant>
      <vt:variant>
        <vt:i4>50</vt:i4>
      </vt:variant>
      <vt:variant>
        <vt:i4>0</vt:i4>
      </vt:variant>
      <vt:variant>
        <vt:i4>5</vt:i4>
      </vt:variant>
      <vt:variant>
        <vt:lpwstr/>
      </vt:variant>
      <vt:variant>
        <vt:lpwstr>_Toc134437610</vt:lpwstr>
      </vt:variant>
      <vt:variant>
        <vt:i4>1507376</vt:i4>
      </vt:variant>
      <vt:variant>
        <vt:i4>47</vt:i4>
      </vt:variant>
      <vt:variant>
        <vt:i4>0</vt:i4>
      </vt:variant>
      <vt:variant>
        <vt:i4>5</vt:i4>
      </vt:variant>
      <vt:variant>
        <vt:lpwstr/>
      </vt:variant>
      <vt:variant>
        <vt:lpwstr>_Toc134437609</vt:lpwstr>
      </vt:variant>
      <vt:variant>
        <vt:i4>1507376</vt:i4>
      </vt:variant>
      <vt:variant>
        <vt:i4>44</vt:i4>
      </vt:variant>
      <vt:variant>
        <vt:i4>0</vt:i4>
      </vt:variant>
      <vt:variant>
        <vt:i4>5</vt:i4>
      </vt:variant>
      <vt:variant>
        <vt:lpwstr/>
      </vt:variant>
      <vt:variant>
        <vt:lpwstr>_Toc134437608</vt:lpwstr>
      </vt:variant>
      <vt:variant>
        <vt:i4>1507376</vt:i4>
      </vt:variant>
      <vt:variant>
        <vt:i4>41</vt:i4>
      </vt:variant>
      <vt:variant>
        <vt:i4>0</vt:i4>
      </vt:variant>
      <vt:variant>
        <vt:i4>5</vt:i4>
      </vt:variant>
      <vt:variant>
        <vt:lpwstr/>
      </vt:variant>
      <vt:variant>
        <vt:lpwstr>_Toc134437607</vt:lpwstr>
      </vt:variant>
      <vt:variant>
        <vt:i4>1507376</vt:i4>
      </vt:variant>
      <vt:variant>
        <vt:i4>38</vt:i4>
      </vt:variant>
      <vt:variant>
        <vt:i4>0</vt:i4>
      </vt:variant>
      <vt:variant>
        <vt:i4>5</vt:i4>
      </vt:variant>
      <vt:variant>
        <vt:lpwstr/>
      </vt:variant>
      <vt:variant>
        <vt:lpwstr>_Toc134437606</vt:lpwstr>
      </vt:variant>
      <vt:variant>
        <vt:i4>1507376</vt:i4>
      </vt:variant>
      <vt:variant>
        <vt:i4>35</vt:i4>
      </vt:variant>
      <vt:variant>
        <vt:i4>0</vt:i4>
      </vt:variant>
      <vt:variant>
        <vt:i4>5</vt:i4>
      </vt:variant>
      <vt:variant>
        <vt:lpwstr/>
      </vt:variant>
      <vt:variant>
        <vt:lpwstr>_Toc134437605</vt:lpwstr>
      </vt:variant>
      <vt:variant>
        <vt:i4>1507376</vt:i4>
      </vt:variant>
      <vt:variant>
        <vt:i4>32</vt:i4>
      </vt:variant>
      <vt:variant>
        <vt:i4>0</vt:i4>
      </vt:variant>
      <vt:variant>
        <vt:i4>5</vt:i4>
      </vt:variant>
      <vt:variant>
        <vt:lpwstr/>
      </vt:variant>
      <vt:variant>
        <vt:lpwstr>_Toc134437604</vt:lpwstr>
      </vt:variant>
      <vt:variant>
        <vt:i4>1507376</vt:i4>
      </vt:variant>
      <vt:variant>
        <vt:i4>29</vt:i4>
      </vt:variant>
      <vt:variant>
        <vt:i4>0</vt:i4>
      </vt:variant>
      <vt:variant>
        <vt:i4>5</vt:i4>
      </vt:variant>
      <vt:variant>
        <vt:lpwstr/>
      </vt:variant>
      <vt:variant>
        <vt:lpwstr>_Toc134437603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L1param R1-230671 preRAN2#123</cp:lastModifiedBy>
  <cp:revision>3</cp:revision>
  <cp:lastPrinted>2018-03-23T07:00:00Z</cp:lastPrinted>
  <dcterms:created xsi:type="dcterms:W3CDTF">2023-08-09T12:16:00Z</dcterms:created>
  <dcterms:modified xsi:type="dcterms:W3CDTF">2023-08-10T16:18:00Z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